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adjustRightInd w:val="0"/>
        <w:snapToGrid w:val="0"/>
        <w:spacing w:after="0" w:line="578" w:lineRule="exact"/>
        <w:jc w:val="both"/>
        <w:textAlignment w:val="center"/>
        <w:outlineLvl w:val="9"/>
        <w:rPr>
          <w:rFonts w:hint="eastAsia" w:ascii="仿宋_GB2312" w:hAnsi="仿宋_GB2312" w:eastAsia="黑体" w:cs="仿宋_GB2312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2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大冶市推进新型工业化加快建设制造强市重点任务清单</w:t>
      </w:r>
    </w:p>
    <w:tbl>
      <w:tblPr>
        <w:tblStyle w:val="6"/>
        <w:tblW w:w="1389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60"/>
        <w:gridCol w:w="6929"/>
        <w:gridCol w:w="141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重点任务</w:t>
            </w:r>
          </w:p>
        </w:tc>
        <w:tc>
          <w:tcPr>
            <w:tcW w:w="6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任务清单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牵头单位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（一）实施集群强链提能行动，提升集群影响力</w:t>
            </w:r>
          </w:p>
        </w:tc>
        <w:tc>
          <w:tcPr>
            <w:tcW w:w="692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加快改造提升传统产业，培育壮大新兴产业，超前谋划布局一批未来产业。到2026年，全市累计实施工业技改项目200个以上，战略性新兴产业占规上工业增加值比重达到17%以上。</w:t>
            </w:r>
          </w:p>
        </w:tc>
        <w:tc>
          <w:tcPr>
            <w:tcW w:w="141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市发改局、市科技局、市统计局，高新区、临空经济区·还地桥镇、各乡镇（场）、街道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</w:t>
            </w:r>
          </w:p>
        </w:tc>
        <w:tc>
          <w:tcPr>
            <w:tcW w:w="186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加快建设六大产业集群，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zh-TW"/>
              </w:rPr>
              <w:t>到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2026年，形成600亿级新材料产业集群，500亿级新能源与智能网联汽车产业集群，300亿级高端智能装备制造、生命健康产业集群，200亿级临空产业、电子信息产业集群。</w:t>
            </w:r>
          </w:p>
        </w:tc>
        <w:tc>
          <w:tcPr>
            <w:tcW w:w="141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市发改局、市科技局，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</w:t>
            </w:r>
          </w:p>
        </w:tc>
        <w:tc>
          <w:tcPr>
            <w:tcW w:w="186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聚焦新能源与智能网联汽车、新材料、生命健康、高端智能装备制造、电子信息和临空产业等六大产业，加大招商选资、项目建设力度，做好“建链、延链、补链、强链”文章，实施战略性新兴产业倍增计划，重点引进培育一批重点行业“领航企业”、细分领域“专精特新”企业，进一步做大工业体量，做强实体经济。</w:t>
            </w:r>
          </w:p>
        </w:tc>
        <w:tc>
          <w:tcPr>
            <w:tcW w:w="141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</w:t>
            </w:r>
          </w:p>
        </w:tc>
        <w:tc>
          <w:tcPr>
            <w:tcW w:w="297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市科技局、市招商服务中心、“五链”融合工作牵头单位和配合单位，高新区、临空经济区·还地桥镇、各乡镇（场）、街道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4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基本建成中部对外开放新高地、全省区域协调发展示范市和光谷科创大走廊黄石功能区的桥头堡，临空经济区建设成为重要增长点，在武汉城市圈区域中主要经济指标增幅保持县（市）首位，产业协同发展水平显著提升。</w:t>
            </w:r>
          </w:p>
        </w:tc>
        <w:tc>
          <w:tcPr>
            <w:tcW w:w="141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市发改局、市科技局、市招商服务中心，高新区、临空经济区·还地桥镇、各乡镇（场）、街道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（二）实施工业品牌提升行动，提升产业生命力</w:t>
            </w:r>
          </w:p>
        </w:tc>
        <w:tc>
          <w:tcPr>
            <w:tcW w:w="692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坚持锻长板、补短板、育新板，着力培育汽车新军、氢能研用示范基地、新型显示产品制造基地、非金属材料基地、大金冶金走廊、生命健康之城等工业“新名片”，激活产业发展新动能。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市发改局、市科技局、市商务局、市卫健局、市招商服务中心，高新区、临空经济区·还地桥镇、各乡镇（场）、街道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6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加速培育一批领军型、链主型行业龙头企业，壮大市中小企业发展投资基金，打造优质品牌企业梯队。到2026年，湖北省制造业百强企业达到7家以上，省级以上“专精特新”中小企业突破100家、制造业单项冠军企业突破30家，“瞪羚”“独角兽”等科创新物种企业突破45家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市科技局、市财政局，高新区、临空经济区·还地桥镇、各乡镇（场）、街道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7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打造专业品牌园区。以“双区五园”为主体，优化园区产业布局，加强特色化运营能力建设，提升园区智慧化水平，提高精准服务水平。到2026年，全市国家级新型工业化产业示范基地达到1家，省级新型工业化产业示范基地达到2家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市科技局、市经信局，高新区、临空经济区·还地桥镇、各乡镇（场）、街道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8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（三）实施创新驱动提质行动，提升核心竞争力</w:t>
            </w:r>
          </w:p>
        </w:tc>
        <w:tc>
          <w:tcPr>
            <w:tcW w:w="692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加强产业创新载体建设。大力实施“十大创新平台”计划，建立国家级、省级、黄石市级创新平台梯级培育机制。到2026年，省级以上创新创业平台超过90家。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市发改局、市经信局，高新区、临空经济区·还地桥镇、各乡镇（场）、街道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9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建立项目库，积极对接国家和省市重大科技专项、重点研发计划、揭榜制项目等，组织推荐一批重大技术攻关项目。支持重点产业积极参与“揭榜挂帅”、定向委托、“赛马制”等重点项目，解决关键共性技术。到2026年， 实施科技研发项目10项，攻克产业关键核心技术12项。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市发改局、市经信局，高新区、临空区·还地桥镇、各乡镇（场）、街道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10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强化企业技术创新主体地位。到2026年，高新技术企业数达到450家，规上工业制造业企业研发机构稳定做到全覆盖。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市市场监管局、市税务局，高新区、临空经济区·还地桥镇、各乡镇（场）、街道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11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（四）实施项目建设提效行动，提升发展吸引力</w:t>
            </w:r>
          </w:p>
        </w:tc>
        <w:tc>
          <w:tcPr>
            <w:tcW w:w="6929" w:type="dxa"/>
            <w:vAlign w:val="center"/>
          </w:tcPr>
          <w:p>
            <w:pPr>
              <w:spacing w:beforeLines="20" w:afterLines="2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对接国家、省重大战略和制造业规划布局，推动一批央企、军工企业战略合作项目和关键产业项目落地，积极争取省产业投资基金加大对在冶制造业项目投资。打好以商招商、以链引商、中介招商、乡情招商等招商选资“组合拳”，持续举办冶商大会、招商推介会等系列招商活动，加快引进一批终端项目、关键环节和补链项目。每年新引进亿元以上工业项目60个以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市招商服务中心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市委统战部、市工商联、市发改局、市经信局、市财政局，高新区、临空经济区·还地桥镇、各乡镇（场）、街道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12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beforeLines="20" w:afterLines="2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每年狠抓“十大工业”项目建设，健全工业重点项目全生命周期管理机制，实施重大产业项目“绿色通道”服务，推动签约项目尽快开工、在建项目加快投产、投产项目加快达产。每年纳入省重点项目建设计划项目5个以上，新开工亿元以上工业项目30个以上，新竣工投产项目30个以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市政数局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市发改局、市经信局、市资规局、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黄石市生态环境局大冶市分局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13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（五）实施数字赋能提速行动，提升产品辐射力</w:t>
            </w:r>
          </w:p>
        </w:tc>
        <w:tc>
          <w:tcPr>
            <w:tcW w:w="6929" w:type="dxa"/>
            <w:vAlign w:val="center"/>
          </w:tcPr>
          <w:p>
            <w:pPr>
              <w:spacing w:beforeLines="20" w:afterLines="2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推动网络基础设施升级，力争到2026年，全市5G基站总数突破1300个，接入二级节点企业达到100家，建成全省领先、功能完备的数字底座。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高新区、临空区·还地桥镇、各乡镇（场）、街道，各通信运营商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14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beforeLines="20" w:afterLines="2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以入选全省中小企业数字化转型城市试点为契机，出台工业互联网创新发展新一轮三年行动计划，完成100家中小企业数字化改造，带动300家制造业企业“上云用云”，提升中小企业数智化能力。支持骨干企业开展集成应用创新，加快打造一批数字车间、智能工厂和5G全连接工厂。到2026年，新增省级以上各类示范企业18家以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市发改局、市科技局、市政数局，高新区、临空经济区·还地桥镇、各乡镇（场）、街道、各通信运营商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15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beforeLines="20" w:afterLines="2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加快建设多层次平台体系，实施“十大创新平台”建设项目，深入园区、企业开展服务，形成“平台+园区”赋能模式；支持劲牌公司、东贝电机等行业龙头开展产业链供应链协同，形成“平台+产业链”赋能模式。打造全省数字经济标杆县（市）、各工业园区创建省级数字经济示范园区。到2026年，省级以上工业互联网平台达到7个以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市经信局、市政数局、市招商服务中心、高新区、临空经济区·还地桥镇、各乡镇（场）、街道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16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（六）实施绿色转型提档行动，提升绿色创新力</w:t>
            </w:r>
          </w:p>
        </w:tc>
        <w:tc>
          <w:tcPr>
            <w:tcW w:w="6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强力推进节能减排降碳。到2026年，全市重点行业高能耗企业节能技改全覆盖，单位工业增加值能耗累计下降12%。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黄石市生态环境局大冶市分局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、高新区、临空经济区·还地桥镇、各乡镇（场）、街道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大力发展循环经济，规范废钢、废铜、废铝、废旧轮胎等再生资源回收利用行业管理。到2026年，全市一般工业固废综合利用率达到90%以上。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黄石市生态环境局大冶市分局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、市发改局、高新区、临空经济区·还地桥镇、各乡镇（场）、街道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17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加快建立和完善政策、服务和标准体系，全面提升绿色制造水平。到2026年，省级以上绿色工厂达到7家。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18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（七）实施产业生态提级行动，提升区域凝合力</w:t>
            </w:r>
          </w:p>
        </w:tc>
        <w:tc>
          <w:tcPr>
            <w:tcW w:w="6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大力发展金融服务、科技咨询、智慧物流、会展、电子商务等生产性服务业。落实企业研发费用加计扣除等税收优惠政策，加大金融支持力度，到2026年，制造业贷款占全部贷款比重达到20%以上。推行工业“标准地”制度，每年新增建设用地指标30%以上用于工业项目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市财政局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市税务局、市金融发展促进中心，高新区、临空经济区·还地桥镇、各乡镇（场）、街道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19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依托我市四大战略叠加区区位优势，鼓励更多企业对接武汉都市圈，推动新能源与智能网联汽车、电子信息、高端智能装备制造、新材料等产业精准匹配相关产业需求、结合抱团发展，以境外、市内产业链供应链对接互联提升抗风险能力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市经信局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市发改局、市科技局，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高新区、临空区·还地桥镇、各乡镇（场）、街道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20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6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突出人才支撑引领。到2026年，全市累计引进高层次产业人才项目3个以上，培育市级以上科技创新团队30个以上，每万名就业人员中研发人员数达20人以上。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市委人才办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市科技局、市经信局、市人社局，高新区、临空经济区·还地桥镇、各乡镇（场）、街道</w:t>
            </w:r>
          </w:p>
        </w:tc>
      </w:tr>
    </w:tbl>
    <w:p>
      <w:pPr>
        <w:spacing w:line="560" w:lineRule="exact"/>
        <w:jc w:val="both"/>
        <w:rPr>
          <w:rFonts w:hint="eastAsia" w:ascii="CESI仿宋-GB2312" w:hAnsi="CESI仿宋-GB2312" w:eastAsia="CESI仿宋-GB2312" w:cs="CESI仿宋-GB2312"/>
          <w:sz w:val="21"/>
          <w:szCs w:val="21"/>
        </w:rPr>
        <w:sectPr>
          <w:footerReference r:id="rId3" w:type="default"/>
          <w:pgSz w:w="16838" w:h="11906" w:orient="landscape"/>
          <w:pgMar w:top="1531" w:right="2098" w:bottom="1531" w:left="1985" w:header="851" w:footer="1417" w:gutter="0"/>
          <w:pgNumType w:fmt="decimal"/>
          <w:cols w:space="720" w:num="1"/>
          <w:docGrid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2098" w:right="1531" w:bottom="1985" w:left="153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100" w:after="0" w:afterLine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100" w:after="0" w:afterLine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2DF464EF"/>
    <w:rsid w:val="2DF4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pageBreakBefore/>
      <w:spacing w:after="60"/>
      <w:jc w:val="left"/>
      <w:outlineLvl w:val="0"/>
    </w:pPr>
    <w:rPr>
      <w:rFonts w:ascii="宋体" w:hAnsi="宋体" w:eastAsia="仿宋_GB2312"/>
      <w:b/>
      <w:bCs/>
      <w:color w:val="E36C0A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2024-02-29T09:29:00Z</dcterms:created>
  <dc:creator>PGC-25</dc:creator>
  <cp:lastModifiedBy>PGC-25</cp:lastModifiedBy>
  <dcterms:modified xsi:type="dcterms:W3CDTF">2024-02-29T09:30:19Z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A5BD134BE279499DA61D9F77BAF05AB2_11</vt:lpwstr>
  </property>
</Properties>
</file>