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冶农招[2023]</w:t>
      </w:r>
      <w:r>
        <w:rPr>
          <w:rFonts w:hint="eastAsia" w:ascii="仿宋" w:hAnsi="仿宋" w:eastAsia="仿宋"/>
          <w:b/>
          <w:bCs/>
          <w:color w:val="000000"/>
          <w:sz w:val="32"/>
          <w:szCs w:val="32"/>
          <w:highlight w:val="none"/>
          <w:lang w:val="en-US" w:eastAsia="zh-CN"/>
        </w:rPr>
        <w:t>103</w:t>
      </w:r>
      <w:r>
        <w:rPr>
          <w:rFonts w:hint="eastAsia" w:ascii="仿宋" w:hAnsi="仿宋" w:eastAsia="仿宋"/>
          <w:b/>
          <w:bCs/>
          <w:color w:val="000000"/>
          <w:sz w:val="32"/>
          <w:szCs w:val="32"/>
          <w:highlight w:val="none"/>
          <w:lang w:eastAsia="zh-CN"/>
        </w:rPr>
        <w:t>号</w:t>
      </w:r>
      <w:bookmarkStart w:id="7" w:name="_GoBack"/>
      <w:bookmarkEnd w:id="7"/>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大冶市金牛镇胡铁村公益事业建设项目（胡铁湾湾组道路刷黑与门口塘建设）</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大冶市金牛镇胡铁村村民委员会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eastAsia="zh-CN"/>
        </w:rPr>
        <w:t>中磊至信建设工程项目管理有限公司</w:t>
      </w:r>
    </w:p>
    <w:p>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十一</w:t>
      </w:r>
      <w:r>
        <w:rPr>
          <w:rFonts w:hint="eastAsia" w:ascii="仿宋" w:hAnsi="仿宋" w:eastAsia="仿宋"/>
          <w:b/>
          <w:bCs/>
          <w:color w:val="000000"/>
          <w:spacing w:val="23"/>
          <w:sz w:val="36"/>
          <w:szCs w:val="36"/>
          <w:highlight w:val="none"/>
        </w:rPr>
        <w:t>月</w:t>
      </w:r>
    </w:p>
    <w:p>
      <w:pPr>
        <w:spacing w:line="500" w:lineRule="exact"/>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p>
      <w:pPr>
        <w:pStyle w:val="2"/>
        <w:ind w:firstLine="480"/>
        <w:rPr>
          <w:highlight w:val="none"/>
        </w:rPr>
      </w:pPr>
    </w:p>
    <w:sdt>
      <w:sdtPr>
        <w:rPr>
          <w:rFonts w:ascii="宋体" w:hAnsi="宋体" w:eastAsia="宋体" w:cs="Times New Roman"/>
          <w:b/>
          <w:bCs/>
          <w:kern w:val="2"/>
          <w:sz w:val="52"/>
          <w:szCs w:val="72"/>
          <w:highlight w:val="none"/>
          <w:lang w:val="en-US" w:eastAsia="zh-CN" w:bidi="ar-SA"/>
        </w:rPr>
        <w:id w:val="147461756"/>
        <w15:color w:val="DBDBDB"/>
        <w:docPartObj>
          <w:docPartGallery w:val="Table of Contents"/>
          <w:docPartUnique/>
        </w:docPartObj>
      </w:sdtPr>
      <w:sdtEndPr>
        <w:rPr>
          <w:rFonts w:ascii="黑体" w:hAnsi="黑体" w:eastAsia="黑体" w:cs="黑体"/>
          <w:b/>
          <w:bCs/>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52"/>
              <w:szCs w:val="72"/>
              <w:highlight w:val="none"/>
            </w:rPr>
          </w:pPr>
          <w:r>
            <w:rPr>
              <w:rFonts w:ascii="宋体" w:hAnsi="宋体" w:eastAsia="宋体"/>
              <w:b/>
              <w:bCs/>
              <w:sz w:val="52"/>
              <w:szCs w:val="72"/>
              <w:highlight w:val="none"/>
            </w:rPr>
            <w:t>目录</w:t>
          </w:r>
        </w:p>
        <w:p>
          <w:pPr>
            <w:pStyle w:val="10"/>
            <w:tabs>
              <w:tab w:val="right" w:leader="dot" w:pos="9072"/>
              <w:tab w:val="clear" w:pos="9061"/>
            </w:tabs>
            <w:rPr>
              <w:highlight w:val="none"/>
            </w:rPr>
          </w:pPr>
          <w:r>
            <w:rPr>
              <w:rFonts w:ascii="黑体" w:hAnsi="黑体" w:eastAsia="黑体" w:cs="黑体"/>
              <w:bCs/>
              <w:sz w:val="32"/>
              <w:szCs w:val="32"/>
              <w:highlight w:val="none"/>
            </w:rPr>
            <w:fldChar w:fldCharType="begin"/>
          </w:r>
          <w:r>
            <w:rPr>
              <w:rFonts w:ascii="黑体" w:hAnsi="黑体" w:eastAsia="黑体" w:cs="黑体"/>
              <w:bCs/>
              <w:sz w:val="32"/>
              <w:szCs w:val="32"/>
              <w:highlight w:val="none"/>
            </w:rPr>
            <w:instrText xml:space="preserve">TOC \o "1-1" \h \u </w:instrText>
          </w:r>
          <w:r>
            <w:rPr>
              <w:rFonts w:ascii="黑体" w:hAnsi="黑体" w:eastAsia="黑体" w:cs="黑体"/>
              <w:bCs/>
              <w:sz w:val="32"/>
              <w:szCs w:val="32"/>
              <w:highlight w:val="none"/>
            </w:rPr>
            <w:fldChar w:fldCharType="separate"/>
          </w: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_Toc16360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第一章  竞争性谈判公告</w:t>
          </w:r>
          <w:r>
            <w:rPr>
              <w:highlight w:val="none"/>
            </w:rPr>
            <w:tab/>
          </w:r>
          <w:r>
            <w:rPr>
              <w:highlight w:val="none"/>
            </w:rPr>
            <w:fldChar w:fldCharType="begin"/>
          </w:r>
          <w:r>
            <w:rPr>
              <w:highlight w:val="none"/>
            </w:rPr>
            <w:instrText xml:space="preserve"> PAGEREF _Toc16360 \h </w:instrText>
          </w:r>
          <w:r>
            <w:rPr>
              <w:highlight w:val="none"/>
            </w:rPr>
            <w:fldChar w:fldCharType="separate"/>
          </w:r>
          <w:r>
            <w:rPr>
              <w:highlight w:val="none"/>
            </w:rPr>
            <w:t>1</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_Toc1248 </w:instrText>
          </w:r>
          <w:r>
            <w:rPr>
              <w:rFonts w:ascii="黑体" w:hAnsi="黑体" w:eastAsia="黑体" w:cs="黑体"/>
              <w:bCs/>
              <w:szCs w:val="32"/>
              <w:highlight w:val="none"/>
            </w:rPr>
            <w:fldChar w:fldCharType="separate"/>
          </w:r>
          <w:r>
            <w:rPr>
              <w:rFonts w:hint="eastAsia" w:ascii="黑体" w:hAnsi="黑体" w:eastAsia="黑体"/>
              <w:szCs w:val="32"/>
              <w:highlight w:val="none"/>
              <w:lang w:val="hr-HR" w:bidi="ar-EG"/>
            </w:rPr>
            <w:t xml:space="preserve">第二章 </w:t>
          </w:r>
          <w:r>
            <w:rPr>
              <w:rFonts w:hint="eastAsia" w:ascii="黑体" w:hAnsi="黑体" w:eastAsia="黑体"/>
              <w:szCs w:val="32"/>
              <w:highlight w:val="none"/>
              <w:lang w:val="en-US" w:eastAsia="zh-CN" w:bidi="ar-EG"/>
            </w:rPr>
            <w:t xml:space="preserve"> </w:t>
          </w:r>
          <w:r>
            <w:rPr>
              <w:rFonts w:hint="eastAsia" w:ascii="黑体" w:hAnsi="黑体" w:eastAsia="黑体" w:cs="黑体"/>
              <w:bCs/>
              <w:szCs w:val="32"/>
              <w:highlight w:val="none"/>
            </w:rPr>
            <w:t>竞争性谈判</w:t>
          </w:r>
          <w:r>
            <w:rPr>
              <w:rFonts w:hint="eastAsia" w:ascii="黑体" w:hAnsi="黑体" w:eastAsia="黑体"/>
              <w:szCs w:val="32"/>
              <w:highlight w:val="none"/>
              <w:lang w:val="hr-HR" w:bidi="ar-EG"/>
            </w:rPr>
            <w:t>须知</w:t>
          </w:r>
          <w:r>
            <w:rPr>
              <w:highlight w:val="none"/>
            </w:rPr>
            <w:tab/>
          </w:r>
          <w:r>
            <w:rPr>
              <w:highlight w:val="none"/>
            </w:rPr>
            <w:fldChar w:fldCharType="begin"/>
          </w:r>
          <w:r>
            <w:rPr>
              <w:highlight w:val="none"/>
            </w:rPr>
            <w:instrText xml:space="preserve"> PAGEREF _Toc1248 \h </w:instrText>
          </w:r>
          <w:r>
            <w:rPr>
              <w:highlight w:val="none"/>
            </w:rPr>
            <w:fldChar w:fldCharType="separate"/>
          </w:r>
          <w:r>
            <w:rPr>
              <w:highlight w:val="none"/>
            </w:rPr>
            <w:t>3</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_Toc20130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第三章  采购项目技术规格、参数及要求</w:t>
          </w:r>
          <w:r>
            <w:rPr>
              <w:highlight w:val="none"/>
            </w:rPr>
            <w:tab/>
          </w:r>
          <w:r>
            <w:rPr>
              <w:highlight w:val="none"/>
            </w:rPr>
            <w:fldChar w:fldCharType="begin"/>
          </w:r>
          <w:r>
            <w:rPr>
              <w:highlight w:val="none"/>
            </w:rPr>
            <w:instrText xml:space="preserve"> PAGEREF _Toc20130 \h </w:instrText>
          </w:r>
          <w:r>
            <w:rPr>
              <w:highlight w:val="none"/>
            </w:rPr>
            <w:fldChar w:fldCharType="separate"/>
          </w:r>
          <w:r>
            <w:rPr>
              <w:highlight w:val="none"/>
            </w:rPr>
            <w:t>9</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_Toc24977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第四章  响应文件格式</w:t>
          </w:r>
          <w:r>
            <w:rPr>
              <w:highlight w:val="none"/>
            </w:rPr>
            <w:tab/>
          </w:r>
          <w:r>
            <w:rPr>
              <w:highlight w:val="none"/>
            </w:rPr>
            <w:fldChar w:fldCharType="begin"/>
          </w:r>
          <w:r>
            <w:rPr>
              <w:highlight w:val="none"/>
            </w:rPr>
            <w:instrText xml:space="preserve"> PAGEREF _Toc24977 \h </w:instrText>
          </w:r>
          <w:r>
            <w:rPr>
              <w:highlight w:val="none"/>
            </w:rPr>
            <w:fldChar w:fldCharType="separate"/>
          </w:r>
          <w:r>
            <w:rPr>
              <w:highlight w:val="none"/>
            </w:rPr>
            <w:t>11</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_Toc27025 </w:instrText>
          </w:r>
          <w:r>
            <w:rPr>
              <w:rFonts w:ascii="黑体" w:hAnsi="黑体" w:eastAsia="黑体" w:cs="黑体"/>
              <w:bCs/>
              <w:szCs w:val="32"/>
              <w:highlight w:val="none"/>
            </w:rPr>
            <w:fldChar w:fldCharType="separate"/>
          </w:r>
          <w:r>
            <w:rPr>
              <w:rFonts w:hint="eastAsia" w:ascii="黑体" w:hAnsi="黑体" w:eastAsia="黑体" w:cs="黑体"/>
              <w:bCs/>
              <w:kern w:val="0"/>
              <w:szCs w:val="32"/>
              <w:highlight w:val="none"/>
            </w:rPr>
            <w:t xml:space="preserve">第五章  </w:t>
          </w:r>
          <w:r>
            <w:rPr>
              <w:rFonts w:hint="eastAsia" w:ascii="黑体" w:hAnsi="黑体" w:eastAsia="黑体" w:cs="仿宋_GB2312"/>
              <w:szCs w:val="32"/>
              <w:highlight w:val="none"/>
              <w:lang w:val="zh-CN"/>
            </w:rPr>
            <w:t>资格后审证明文件</w:t>
          </w:r>
          <w:r>
            <w:rPr>
              <w:highlight w:val="none"/>
            </w:rPr>
            <w:tab/>
          </w:r>
          <w:r>
            <w:rPr>
              <w:highlight w:val="none"/>
            </w:rPr>
            <w:fldChar w:fldCharType="begin"/>
          </w:r>
          <w:r>
            <w:rPr>
              <w:highlight w:val="none"/>
            </w:rPr>
            <w:instrText xml:space="preserve"> PAGEREF _Toc27025 \h </w:instrText>
          </w:r>
          <w:r>
            <w:rPr>
              <w:highlight w:val="none"/>
            </w:rPr>
            <w:fldChar w:fldCharType="separate"/>
          </w:r>
          <w:r>
            <w:rPr>
              <w:highlight w:val="none"/>
            </w:rPr>
            <w:t>31</w:t>
          </w:r>
          <w:r>
            <w:rPr>
              <w:highlight w:val="none"/>
            </w:rPr>
            <w:fldChar w:fldCharType="end"/>
          </w:r>
          <w:r>
            <w:rPr>
              <w:rFonts w:ascii="黑体" w:hAnsi="黑体" w:eastAsia="黑体" w:cs="黑体"/>
              <w:bCs/>
              <w:szCs w:val="32"/>
              <w:highlight w:val="none"/>
            </w:rPr>
            <w:fldChar w:fldCharType="end"/>
          </w:r>
        </w:p>
        <w:p>
          <w:pPr>
            <w:spacing w:line="500" w:lineRule="exact"/>
            <w:jc w:val="center"/>
            <w:rPr>
              <w:rFonts w:ascii="黑体" w:hAnsi="黑体" w:eastAsia="黑体" w:cs="黑体"/>
              <w:b/>
              <w:bCs/>
              <w:kern w:val="2"/>
              <w:sz w:val="21"/>
              <w:szCs w:val="32"/>
              <w:highlight w:val="none"/>
              <w:lang w:val="en-US" w:eastAsia="zh-CN" w:bidi="ar-SA"/>
            </w:rPr>
          </w:pPr>
          <w:r>
            <w:rPr>
              <w:rFonts w:ascii="黑体" w:hAnsi="黑体" w:eastAsia="黑体" w:cs="黑体"/>
              <w:bCs/>
              <w:szCs w:val="32"/>
              <w:highlight w:val="none"/>
            </w:rPr>
            <w:fldChar w:fldCharType="end"/>
          </w:r>
        </w:p>
      </w:sdtContent>
    </w:sdt>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p>
    <w:p>
      <w:pPr>
        <w:bidi w:val="0"/>
        <w:rPr>
          <w:highlight w:val="none"/>
          <w:lang w:val="en-US" w:eastAsia="zh-CN"/>
        </w:rPr>
      </w:pPr>
    </w:p>
    <w:p>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pPr>
        <w:spacing w:line="500" w:lineRule="exact"/>
        <w:jc w:val="center"/>
        <w:outlineLvl w:val="0"/>
        <w:rPr>
          <w:rFonts w:ascii="华文中宋" w:hAnsi="华文中宋" w:eastAsia="华文中宋" w:cs="华文中宋"/>
          <w:kern w:val="0"/>
          <w:szCs w:val="21"/>
          <w:highlight w:val="none"/>
        </w:rPr>
      </w:pPr>
      <w:bookmarkStart w:id="0" w:name="_Toc16360"/>
      <w:r>
        <w:rPr>
          <w:rFonts w:hint="eastAsia" w:ascii="黑体" w:hAnsi="黑体" w:eastAsia="黑体" w:cs="黑体"/>
          <w:bCs/>
          <w:sz w:val="32"/>
          <w:szCs w:val="32"/>
          <w:highlight w:val="none"/>
        </w:rPr>
        <w:t>第一章  竞争性谈判公告</w:t>
      </w:r>
      <w:bookmarkEnd w:id="0"/>
    </w:p>
    <w:p>
      <w:pPr>
        <w:keepNext w:val="0"/>
        <w:keepLines w:val="0"/>
        <w:pageBreakBefore w:val="0"/>
        <w:kinsoku/>
        <w:overflowPunct/>
        <w:topLinePunct w:val="0"/>
        <w:autoSpaceDE/>
        <w:autoSpaceDN/>
        <w:bidi w:val="0"/>
        <w:adjustRightInd/>
        <w:snapToGrid/>
        <w:spacing w:line="46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中磊至信建设工程项目管理有限公司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大冶市金牛镇胡铁村村民委员会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大冶市金牛镇胡铁村公益事业建设项目（胡铁湾湾组道路刷黑与门口塘建设）</w:t>
      </w:r>
      <w:r>
        <w:rPr>
          <w:rFonts w:hint="eastAsia" w:ascii="仿宋" w:hAnsi="仿宋" w:eastAsia="仿宋" w:cs="仿宋"/>
          <w:color w:val="000000"/>
          <w:sz w:val="28"/>
          <w:szCs w:val="28"/>
          <w:highlight w:val="none"/>
        </w:rPr>
        <w:t>进行竞争性谈判采购。</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14:textFill>
            <w14:solidFill>
              <w14:schemeClr w14:val="tx1"/>
            </w14:solidFill>
          </w14:textFill>
        </w:rPr>
        <w:t>冶农招[2023]</w:t>
      </w:r>
      <w:r>
        <w:rPr>
          <w:rFonts w:hint="eastAsia" w:ascii="仿宋" w:hAnsi="仿宋" w:eastAsia="仿宋" w:cs="仿宋"/>
          <w:color w:val="000000" w:themeColor="text1"/>
          <w:sz w:val="28"/>
          <w:szCs w:val="28"/>
          <w:highlight w:val="none"/>
          <w:lang w:val="en-US" w:eastAsia="zh-CN"/>
          <w14:textFill>
            <w14:solidFill>
              <w14:schemeClr w14:val="tx1"/>
            </w14:solidFill>
          </w14:textFill>
        </w:rPr>
        <w:t>103</w:t>
      </w:r>
      <w:r>
        <w:rPr>
          <w:rFonts w:hint="eastAsia" w:ascii="仿宋" w:hAnsi="仿宋" w:eastAsia="仿宋" w:cs="仿宋"/>
          <w:color w:val="000000" w:themeColor="text1"/>
          <w:sz w:val="28"/>
          <w:szCs w:val="28"/>
          <w:highlight w:val="none"/>
          <w:lang w:eastAsia="zh-CN"/>
          <w14:textFill>
            <w14:solidFill>
              <w14:schemeClr w14:val="tx1"/>
            </w14:solidFill>
          </w14:textFill>
        </w:rPr>
        <w:t>号</w:t>
      </w:r>
      <w:r>
        <w:rPr>
          <w:rFonts w:hint="eastAsia" w:ascii="仿宋" w:hAnsi="仿宋" w:eastAsia="仿宋" w:cs="仿宋"/>
          <w:color w:val="000000"/>
          <w:sz w:val="28"/>
          <w:szCs w:val="28"/>
          <w:highlight w:val="none"/>
        </w:rPr>
        <w:t xml:space="preserve"> </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大冶市金牛镇胡铁村公益事业建设项目（胡铁湾湾组道路刷黑与门口塘建设）</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四、最高限价：￥</w:t>
      </w:r>
      <w:r>
        <w:rPr>
          <w:rFonts w:hint="eastAsia" w:ascii="仿宋" w:hAnsi="仿宋" w:eastAsia="仿宋" w:cs="仿宋"/>
          <w:color w:val="000000" w:themeColor="text1"/>
          <w:sz w:val="28"/>
          <w:szCs w:val="28"/>
          <w:highlight w:val="none"/>
          <w:lang w:val="en-US" w:eastAsia="zh-CN"/>
          <w14:textFill>
            <w14:solidFill>
              <w14:schemeClr w14:val="tx1"/>
            </w14:solidFill>
          </w14:textFill>
        </w:rPr>
        <w:t>372946.91</w:t>
      </w:r>
      <w:r>
        <w:rPr>
          <w:rFonts w:hint="eastAsia" w:ascii="仿宋" w:hAnsi="仿宋" w:eastAsia="仿宋" w:cs="仿宋"/>
          <w:color w:val="000000" w:themeColor="text1"/>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14:textFill>
            <w14:solidFill>
              <w14:schemeClr w14:val="tx1"/>
            </w14:solidFill>
          </w14:textFill>
        </w:rPr>
        <w:t>（超过该限价为无效投标）</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五、资金来源：上级奖补</w:t>
      </w:r>
      <w:r>
        <w:rPr>
          <w:rFonts w:hint="eastAsia" w:ascii="仿宋" w:hAnsi="仿宋" w:eastAsia="仿宋" w:cs="仿宋"/>
          <w:color w:val="000000" w:themeColor="text1"/>
          <w:sz w:val="28"/>
          <w:szCs w:val="28"/>
          <w:highlight w:val="none"/>
          <w:lang w:val="en-US" w:eastAsia="zh-CN"/>
          <w14:textFill>
            <w14:solidFill>
              <w14:schemeClr w14:val="tx1"/>
            </w14:solidFill>
          </w14:textFill>
        </w:rPr>
        <w:t>+集体</w:t>
      </w:r>
      <w:r>
        <w:rPr>
          <w:rFonts w:hint="eastAsia" w:ascii="仿宋" w:hAnsi="仿宋" w:eastAsia="仿宋" w:cs="仿宋"/>
          <w:color w:val="000000" w:themeColor="text1"/>
          <w:sz w:val="28"/>
          <w:szCs w:val="28"/>
          <w:highlight w:val="none"/>
          <w14:textFill>
            <w14:solidFill>
              <w14:schemeClr w14:val="tx1"/>
            </w14:solidFill>
          </w14:textFill>
        </w:rPr>
        <w:t>自筹</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大冶市金牛镇胡铁村公益事业建设项目（胡铁湾湾组道路刷黑与门口塘建设）</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踏勘现场：在谈判截止时间前，各供应商自行前往施工区域现场踏勘，并将准确的现场踏勘图片附到竞争性谈判响应文件中，未按要求提供踏勘图片的供应商作无效投标处理</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eastAsia="zh-CN"/>
        </w:rPr>
        <w:t>、本项目不接受联合体参与谈判。</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2023</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11</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21</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大冶市金牛镇产权交易中心开标室</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、联系方式</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w:t>
      </w:r>
      <w:r>
        <w:rPr>
          <w:rFonts w:hint="eastAsia" w:ascii="仿宋" w:hAnsi="仿宋" w:eastAsia="仿宋" w:cs="仿宋"/>
          <w:color w:val="000000" w:themeColor="text1"/>
          <w:sz w:val="28"/>
          <w:szCs w:val="28"/>
          <w:highlight w:val="none"/>
          <w:lang w:eastAsia="zh-CN"/>
          <w14:textFill>
            <w14:solidFill>
              <w14:schemeClr w14:val="tx1"/>
            </w14:solidFill>
          </w14:textFill>
        </w:rPr>
        <w:t>大冶市金牛镇胡铁村村民委员会</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联系人：</w:t>
      </w:r>
      <w:r>
        <w:rPr>
          <w:rFonts w:hint="eastAsia" w:ascii="仿宋" w:hAnsi="仿宋" w:eastAsia="仿宋" w:cs="仿宋"/>
          <w:color w:val="000000" w:themeColor="text1"/>
          <w:sz w:val="28"/>
          <w:szCs w:val="28"/>
          <w:highlight w:val="none"/>
          <w:lang w:eastAsia="zh-CN"/>
          <w14:textFill>
            <w14:solidFill>
              <w14:schemeClr w14:val="tx1"/>
            </w14:solidFill>
          </w14:textFill>
        </w:rPr>
        <w:t>袁素云</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13385261346</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line="460" w:lineRule="exact"/>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color w:val="000000" w:themeColor="text1"/>
          <w:sz w:val="28"/>
          <w:szCs w:val="28"/>
          <w:highlight w:val="none"/>
          <w14:textFill>
            <w14:solidFill>
              <w14:schemeClr w14:val="tx1"/>
            </w14:solidFill>
          </w14:textFill>
        </w:rPr>
        <w:t>大冶市金牛镇</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招标代理机构：</w:t>
      </w:r>
      <w:r>
        <w:rPr>
          <w:rFonts w:hint="eastAsia" w:ascii="仿宋" w:hAnsi="仿宋" w:eastAsia="仿宋" w:cs="仿宋"/>
          <w:color w:val="000000" w:themeColor="text1"/>
          <w:sz w:val="28"/>
          <w:szCs w:val="28"/>
          <w:highlight w:val="none"/>
          <w:lang w:eastAsia="zh-CN"/>
          <w14:textFill>
            <w14:solidFill>
              <w14:schemeClr w14:val="tx1"/>
            </w14:solidFill>
          </w14:textFill>
        </w:rPr>
        <w:t>中磊至信建设工程项目管理有限公司</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袁  工</w:t>
      </w:r>
      <w:r>
        <w:rPr>
          <w:rFonts w:hint="eastAsia" w:ascii="仿宋" w:hAnsi="仿宋" w:eastAsia="仿宋" w:cs="仿宋"/>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13545495133</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址：大冶市金牛镇华馨居402号</w:t>
      </w:r>
    </w:p>
    <w:p>
      <w:pPr>
        <w:keepNext w:val="0"/>
        <w:keepLines w:val="0"/>
        <w:pageBreakBefore w:val="0"/>
        <w:widowControl/>
        <w:kinsoku/>
        <w:overflowPunct/>
        <w:topLinePunct w:val="0"/>
        <w:autoSpaceDE/>
        <w:autoSpaceDN/>
        <w:bidi w:val="0"/>
        <w:adjustRightInd/>
        <w:snapToGrid/>
        <w:spacing w:line="46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中磊至信建设工程项目管理有限公司</w:t>
      </w:r>
    </w:p>
    <w:p>
      <w:pPr>
        <w:keepNext w:val="0"/>
        <w:keepLines w:val="0"/>
        <w:pageBreakBefore w:val="0"/>
        <w:kinsoku/>
        <w:wordWrap w:val="0"/>
        <w:overflowPunct/>
        <w:topLinePunct w:val="0"/>
        <w:autoSpaceDE/>
        <w:autoSpaceDN/>
        <w:bidi w:val="0"/>
        <w:adjustRightInd/>
        <w:snapToGrid/>
        <w:spacing w:line="460" w:lineRule="exact"/>
        <w:jc w:val="right"/>
        <w:textAlignment w:val="auto"/>
        <w:rPr>
          <w:rFonts w:hint="eastAsia"/>
          <w:highlight w:val="none"/>
          <w:lang w:val="hr-HR"/>
        </w:rPr>
      </w:pPr>
      <w:r>
        <w:rPr>
          <w:rFonts w:hint="eastAsia" w:ascii="仿宋" w:hAnsi="仿宋" w:eastAsia="仿宋" w:cs="仿宋"/>
          <w:kern w:val="0"/>
          <w:sz w:val="30"/>
          <w:szCs w:val="30"/>
          <w:highlight w:val="none"/>
          <w:lang w:val="en-US" w:eastAsia="zh-CN"/>
        </w:rPr>
        <w:t>2023</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11</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10</w:t>
      </w:r>
      <w:r>
        <w:rPr>
          <w:rFonts w:hint="eastAsia" w:ascii="仿宋" w:hAnsi="仿宋" w:eastAsia="仿宋" w:cs="仿宋"/>
          <w:kern w:val="0"/>
          <w:sz w:val="30"/>
          <w:szCs w:val="30"/>
          <w:highlight w:val="none"/>
        </w:rPr>
        <w:t>日</w:t>
      </w:r>
    </w:p>
    <w:p>
      <w:pPr>
        <w:adjustRightInd w:val="0"/>
        <w:snapToGrid w:val="0"/>
        <w:spacing w:line="500" w:lineRule="exact"/>
        <w:jc w:val="center"/>
        <w:outlineLvl w:val="0"/>
        <w:rPr>
          <w:rFonts w:hint="eastAsia" w:ascii="黑体" w:hAnsi="黑体" w:eastAsia="黑体"/>
          <w:color w:val="000000"/>
          <w:sz w:val="32"/>
          <w:szCs w:val="32"/>
          <w:highlight w:val="none"/>
          <w:lang w:val="hr-HR" w:bidi="ar-EG"/>
        </w:rPr>
      </w:pPr>
      <w:bookmarkStart w:id="1" w:name="_Toc1248"/>
    </w:p>
    <w:p>
      <w:pPr>
        <w:adjustRightInd w:val="0"/>
        <w:snapToGrid w:val="0"/>
        <w:spacing w:line="500" w:lineRule="exact"/>
        <w:jc w:val="center"/>
        <w:outlineLvl w:val="0"/>
        <w:rPr>
          <w:rFonts w:hint="eastAsia" w:ascii="黑体" w:hAnsi="黑体" w:eastAsia="黑体"/>
          <w:color w:val="000000"/>
          <w:sz w:val="32"/>
          <w:szCs w:val="32"/>
          <w:highlight w:val="none"/>
          <w:lang w:val="hr-HR" w:bidi="ar-EG"/>
        </w:rPr>
      </w:pPr>
    </w:p>
    <w:p>
      <w:pPr>
        <w:adjustRightInd w:val="0"/>
        <w:snapToGrid w:val="0"/>
        <w:spacing w:line="500" w:lineRule="exact"/>
        <w:jc w:val="center"/>
        <w:outlineLvl w:val="0"/>
        <w:rPr>
          <w:rFonts w:ascii="黑体" w:hAnsi="黑体" w:eastAsia="黑体"/>
          <w:color w:val="000000"/>
          <w:sz w:val="32"/>
          <w:szCs w:val="32"/>
          <w:highlight w:val="none"/>
          <w:lang w:val="hr-HR" w:bidi="ar-EG"/>
        </w:rPr>
      </w:pPr>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大冶市金牛镇胡铁村村民委员会</w:t>
      </w:r>
      <w:r>
        <w:rPr>
          <w:rFonts w:hint="eastAsia" w:ascii="仿宋" w:hAnsi="仿宋" w:eastAsia="仿宋" w:cs="仿宋"/>
          <w:sz w:val="28"/>
          <w:szCs w:val="28"/>
          <w:highlight w:val="none"/>
        </w:rPr>
        <w:t xml:space="preserve">   </w:t>
      </w:r>
    </w:p>
    <w:p>
      <w:pPr>
        <w:spacing w:line="440" w:lineRule="exact"/>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中磊至信建设工程项目管理有限公司</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3.1谈判供应商的条件及要求：满足“谈判邀请函”中供应商资格及要求条件的供应商。</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w:t>
      </w:r>
      <w:r>
        <w:rPr>
          <w:rFonts w:hint="eastAsia" w:ascii="仿宋" w:hAnsi="仿宋" w:eastAsia="仿宋" w:cs="宋体"/>
          <w:color w:val="000000" w:themeColor="text1"/>
          <w:sz w:val="28"/>
          <w:szCs w:val="28"/>
          <w:highlight w:val="none"/>
          <w:lang w:val="en-US" w:eastAsia="zh-CN"/>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在谈判过程中谈判小组发现供应商有下列情形之一的，认定其有围标串标行为，宣布其本次谈判无效：</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（1）不同供应商的竞争性谈判文件两处以上（含两处）错、漏一致或雷同的；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（2）不同供应商的竞争性谈判各项报价存在异常一致或者呈规律性变化的；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（3）不同供应商的竞争性谈判文件由同一单位或者同一个人编制的；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（4）不同供应商的竞争性谈判文件中投标资料相互混装或项目班子成员出现同一人的；</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7"/>
        <w:adjustRightInd w:val="0"/>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5.1谈判供应商提交的竞争性谈判纸制响应文件必须目录清晰，并逐页编码、盖章，按要求胶装。不得采用活页夹等可随时拆开的方式装订，否则作为无效投标处理。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sz w:val="28"/>
          <w:szCs w:val="28"/>
          <w:highlight w:val="none"/>
        </w:rPr>
        <w:t>。</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1）谈判书；</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）供应商具有独立法人资格的营业执照；</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）供应商具有银行基本开户许可证或基本存款帐户信息；</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5）</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theme="majorEastAsia"/>
          <w:sz w:val="28"/>
          <w:szCs w:val="28"/>
          <w:highlight w:val="none"/>
          <w:lang w:val="en-US" w:eastAsia="zh-CN"/>
        </w:rPr>
        <w:t>6）</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7）</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8）</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w:t>
      </w:r>
      <w:r>
        <w:rPr>
          <w:rFonts w:hint="eastAsia" w:ascii="仿宋" w:hAnsi="仿宋" w:eastAsia="仿宋" w:cstheme="majorEastAsia"/>
          <w:sz w:val="28"/>
          <w:szCs w:val="28"/>
          <w:highlight w:val="none"/>
          <w:lang w:val="en-US" w:eastAsia="zh-CN"/>
        </w:rPr>
        <w:t>以上的社保证明及劳动合同</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10）质量保证措施、工期保证措施；</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11）施工方案</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12）合同签订承诺函、工农关系承诺函、中标人承诺函、诚信投标承诺书；</w:t>
      </w:r>
    </w:p>
    <w:p>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13）</w:t>
      </w:r>
      <w:r>
        <w:rPr>
          <w:rFonts w:hint="eastAsia" w:ascii="仿宋" w:hAnsi="仿宋" w:eastAsia="仿宋" w:cs="仿宋_GB2312"/>
          <w:sz w:val="28"/>
          <w:szCs w:val="28"/>
          <w:highlight w:val="none"/>
          <w:lang w:val="zh-CN"/>
        </w:rPr>
        <w:t>踏勘现场</w:t>
      </w:r>
      <w:r>
        <w:rPr>
          <w:rFonts w:hint="eastAsia" w:ascii="仿宋" w:hAnsi="仿宋" w:eastAsia="仿宋" w:cs="仿宋_GB2312"/>
          <w:sz w:val="28"/>
          <w:szCs w:val="28"/>
          <w:highlight w:val="none"/>
          <w:lang w:val="en-US" w:eastAsia="zh-CN"/>
        </w:rPr>
        <w:t>图片</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14）谈判供应商认为需要提供的有关资料。</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份，一起封装，封装封面上应注明采购项目名称、编号和有“在（ 年 月 日上午</w:t>
      </w:r>
      <w:r>
        <w:rPr>
          <w:rFonts w:hint="eastAsia" w:ascii="仿宋" w:hAnsi="仿宋" w:eastAsia="仿宋" w:cs="仿宋"/>
          <w:sz w:val="28"/>
          <w:szCs w:val="28"/>
          <w:highlight w:val="none"/>
          <w:lang w:val="en-US" w:eastAsia="zh-CN"/>
        </w:rPr>
        <w:t>9时00分</w:t>
      </w:r>
      <w:r>
        <w:rPr>
          <w:rFonts w:hint="eastAsia" w:ascii="仿宋" w:hAnsi="仿宋" w:eastAsia="仿宋" w:cs="仿宋"/>
          <w:sz w:val="28"/>
          <w:szCs w:val="28"/>
          <w:highlight w:val="none"/>
        </w:rPr>
        <w:t>）之前不得启封”的字样，封口处加盖供应商印章。</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spacing w:line="44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pPr>
        <w:numPr>
          <w:ilvl w:val="0"/>
          <w:numId w:val="0"/>
        </w:num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spacing w:line="440" w:lineRule="exact"/>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spacing w:line="440" w:lineRule="exact"/>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spacing w:line="44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pPr>
        <w:widowControl/>
        <w:spacing w:line="440" w:lineRule="exact"/>
        <w:jc w:val="left"/>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40" w:lineRule="exac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20130"/>
      <w:r>
        <w:rPr>
          <w:rFonts w:hint="eastAsia" w:ascii="黑体" w:hAnsi="黑体" w:eastAsia="黑体" w:cs="黑体"/>
          <w:bCs/>
          <w:sz w:val="32"/>
          <w:szCs w:val="32"/>
          <w:highlight w:val="none"/>
        </w:rPr>
        <w:t>第三章  采购项目技术规格、参数及要求</w:t>
      </w:r>
      <w:bookmarkEnd w:id="2"/>
    </w:p>
    <w:p>
      <w:pPr>
        <w:tabs>
          <w:tab w:val="left" w:pos="180"/>
          <w:tab w:val="left" w:pos="1620"/>
        </w:tabs>
        <w:spacing w:line="500" w:lineRule="exact"/>
        <w:rPr>
          <w:rFonts w:ascii="仿宋" w:hAnsi="仿宋" w:eastAsia="仿宋" w:cs="仿宋"/>
          <w:sz w:val="28"/>
          <w:szCs w:val="28"/>
          <w:highlight w:val="none"/>
        </w:rPr>
      </w:pPr>
    </w:p>
    <w:p>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冶农招[2023]</w:t>
      </w:r>
      <w:r>
        <w:rPr>
          <w:rFonts w:hint="eastAsia" w:ascii="仿宋" w:hAnsi="仿宋" w:eastAsia="仿宋" w:cs="仿宋"/>
          <w:sz w:val="28"/>
          <w:szCs w:val="28"/>
          <w:highlight w:val="none"/>
          <w:lang w:val="en-US" w:eastAsia="zh-CN"/>
        </w:rPr>
        <w:t>103</w:t>
      </w:r>
      <w:r>
        <w:rPr>
          <w:rFonts w:hint="eastAsia" w:ascii="仿宋" w:hAnsi="仿宋" w:eastAsia="仿宋" w:cs="仿宋"/>
          <w:sz w:val="28"/>
          <w:szCs w:val="28"/>
          <w:highlight w:val="none"/>
          <w:lang w:eastAsia="zh-CN"/>
        </w:rPr>
        <w:t>号</w:t>
      </w:r>
    </w:p>
    <w:p>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大冶市金牛镇胡铁村公益事业建设项目（胡铁湾湾组道路刷黑与门口塘建设）</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w:t>
      </w:r>
      <w:r>
        <w:rPr>
          <w:rFonts w:hint="eastAsia" w:ascii="仿宋" w:hAnsi="仿宋" w:eastAsia="仿宋" w:cs="仿宋"/>
          <w:sz w:val="28"/>
          <w:szCs w:val="28"/>
          <w:highlight w:val="none"/>
          <w:lang w:val="en-US" w:eastAsia="zh-CN"/>
        </w:rPr>
        <w:t>及图纸</w:t>
      </w:r>
      <w:r>
        <w:rPr>
          <w:rFonts w:hint="eastAsia" w:ascii="仿宋" w:hAnsi="仿宋" w:eastAsia="仿宋" w:cs="仿宋"/>
          <w:sz w:val="28"/>
          <w:szCs w:val="28"/>
          <w:highlight w:val="none"/>
        </w:rPr>
        <w:t>的全部内容</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1、工程质量标准：达到国家现行验收规范合格标准；未达到质量目标须及时返工至合格为止，且按合同价款5%进行处罚。</w:t>
      </w:r>
    </w:p>
    <w:p>
      <w:pPr>
        <w:spacing w:line="500" w:lineRule="exact"/>
        <w:rPr>
          <w:rFonts w:hint="default"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工程完工、验收合格审计后第一年付审计款的80%，第二年付审计款的10%，剩余10%第三年付清。</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14:textFill>
            <w14:solidFill>
              <w14:schemeClr w14:val="tx1"/>
            </w14:solidFill>
          </w14:textFill>
        </w:rPr>
        <w:t>日历天。</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spacing w:line="500" w:lineRule="exac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五、投标报价说明：</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val="en-US" w:eastAsia="zh-CN"/>
          <w14:textFill>
            <w14:solidFill>
              <w14:schemeClr w14:val="tx1"/>
            </w14:solidFill>
          </w14:textFill>
        </w:rPr>
        <w:t>372946.91</w:t>
      </w:r>
      <w:r>
        <w:rPr>
          <w:rFonts w:hint="eastAsia" w:ascii="仿宋" w:hAnsi="仿宋" w:eastAsia="仿宋" w:cs="仿宋"/>
          <w:color w:val="000000" w:themeColor="text1"/>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14:textFill>
            <w14:solidFill>
              <w14:schemeClr w14:val="tx1"/>
            </w14:solidFill>
          </w14:textFill>
        </w:rPr>
        <w:t>均为有效报价，否则为无效投标。</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5、在施工安装期间，成交供应商应按合同要求尽早提供和使用进入工地的平台，通道等设备，如果办不到的话，成交供应商应提供临时设施。</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7、在本项目中由于施工造成的安全事故由成交供应商自行负责。</w:t>
      </w:r>
    </w:p>
    <w:p>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spacing w:line="500" w:lineRule="exact"/>
        <w:jc w:val="center"/>
        <w:outlineLvl w:val="0"/>
        <w:rPr>
          <w:rFonts w:ascii="仿宋" w:hAnsi="仿宋" w:eastAsia="黑体" w:cs="仿宋"/>
          <w:b/>
          <w:sz w:val="28"/>
          <w:szCs w:val="28"/>
          <w:highlight w:val="none"/>
        </w:rPr>
      </w:pPr>
      <w:bookmarkStart w:id="3" w:name="_Toc24977"/>
      <w:r>
        <w:rPr>
          <w:rFonts w:hint="eastAsia" w:ascii="黑体" w:hAnsi="黑体" w:eastAsia="黑体" w:cs="黑体"/>
          <w:bCs/>
          <w:sz w:val="32"/>
          <w:szCs w:val="32"/>
          <w:highlight w:val="none"/>
        </w:rPr>
        <w:t>第四章  响应文件格式</w:t>
      </w:r>
      <w:bookmarkEnd w:id="3"/>
    </w:p>
    <w:p>
      <w:pPr>
        <w:spacing w:line="500" w:lineRule="exact"/>
        <w:rPr>
          <w:rFonts w:ascii="仿宋" w:hAnsi="仿宋" w:eastAsia="仿宋" w:cs="仿宋"/>
          <w:sz w:val="28"/>
          <w:szCs w:val="28"/>
          <w:highlight w:val="none"/>
        </w:rPr>
      </w:pPr>
    </w:p>
    <w:p>
      <w:pPr>
        <w:spacing w:line="500" w:lineRule="exact"/>
        <w:rPr>
          <w:rFonts w:ascii="仿宋" w:hAnsi="仿宋" w:eastAsia="仿宋"/>
          <w:bCs/>
          <w:sz w:val="44"/>
          <w:highlight w:val="none"/>
        </w:rPr>
      </w:pPr>
      <w:r>
        <w:rPr>
          <w:rFonts w:ascii="仿宋" w:hAnsi="仿宋" w:eastAsia="仿宋"/>
          <w:szCs w:val="28"/>
          <w:highlight w:val="none"/>
        </w:rPr>
        <w:t>封面：</w:t>
      </w:r>
    </w:p>
    <w:p>
      <w:pPr>
        <w:jc w:val="center"/>
        <w:rPr>
          <w:rFonts w:ascii="仿宋" w:hAnsi="仿宋" w:eastAsia="仿宋"/>
          <w:sz w:val="52"/>
          <w:szCs w:val="52"/>
          <w:highlight w:val="none"/>
        </w:rPr>
      </w:pPr>
    </w:p>
    <w:p>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pPr>
        <w:jc w:val="center"/>
        <w:rPr>
          <w:rFonts w:ascii="仿宋" w:hAnsi="仿宋" w:eastAsia="仿宋"/>
          <w:sz w:val="44"/>
          <w:highlight w:val="none"/>
        </w:rPr>
      </w:pPr>
    </w:p>
    <w:p>
      <w:pPr>
        <w:pStyle w:val="7"/>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pPr>
        <w:jc w:val="center"/>
        <w:rPr>
          <w:rFonts w:ascii="仿宋" w:hAnsi="仿宋" w:eastAsia="仿宋"/>
          <w:sz w:val="44"/>
          <w:highlight w:val="none"/>
        </w:rPr>
      </w:pPr>
      <w:r>
        <w:rPr>
          <w:rFonts w:hint="eastAsia" w:ascii="仿宋" w:hAnsi="仿宋" w:eastAsia="仿宋"/>
          <w:sz w:val="44"/>
          <w:highlight w:val="none"/>
        </w:rPr>
        <w:t>（正本/副本）</w:t>
      </w:r>
    </w:p>
    <w:p>
      <w:pPr>
        <w:jc w:val="center"/>
        <w:rPr>
          <w:rFonts w:ascii="仿宋" w:hAnsi="仿宋" w:eastAsia="仿宋"/>
          <w:sz w:val="44"/>
          <w:highlight w:val="none"/>
        </w:rPr>
      </w:pPr>
    </w:p>
    <w:p>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pPr>
        <w:tabs>
          <w:tab w:val="left" w:pos="2625"/>
        </w:tabs>
        <w:spacing w:line="360" w:lineRule="auto"/>
        <w:jc w:val="center"/>
        <w:rPr>
          <w:rFonts w:ascii="仿宋" w:hAnsi="仿宋" w:eastAsia="仿宋"/>
          <w:bCs/>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pPr>
        <w:jc w:val="center"/>
        <w:rPr>
          <w:rFonts w:ascii="仿宋" w:hAnsi="仿宋" w:eastAsia="仿宋"/>
          <w:sz w:val="32"/>
          <w:szCs w:val="32"/>
          <w:highlight w:val="none"/>
        </w:rPr>
      </w:pPr>
      <w:r>
        <w:rPr>
          <w:rFonts w:ascii="仿宋" w:hAnsi="仿宋" w:eastAsia="仿宋"/>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pPr>
        <w:pStyle w:val="7"/>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pPr>
        <w:spacing w:line="500" w:lineRule="exact"/>
        <w:rPr>
          <w:rFonts w:ascii="仿宋" w:hAnsi="仿宋" w:eastAsia="仿宋" w:cs="仿宋"/>
          <w:color w:val="333333"/>
          <w:sz w:val="28"/>
          <w:szCs w:val="28"/>
          <w:highlight w:val="none"/>
        </w:rPr>
      </w:pP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pPr>
        <w:spacing w:line="500" w:lineRule="exact"/>
        <w:rPr>
          <w:rFonts w:ascii="仿宋" w:hAnsi="仿宋" w:eastAsia="仿宋" w:cs="仿宋"/>
          <w:color w:val="333333"/>
          <w:sz w:val="28"/>
          <w:szCs w:val="28"/>
          <w:highlight w:val="none"/>
        </w:rPr>
      </w:pPr>
    </w:p>
    <w:tbl>
      <w:tblPr>
        <w:tblStyle w:val="1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pPr>
        <w:pStyle w:val="7"/>
        <w:adjustRightInd w:val="0"/>
        <w:snapToGrid w:val="0"/>
        <w:spacing w:line="360" w:lineRule="auto"/>
        <w:ind w:firstLine="560" w:firstLineChars="200"/>
        <w:jc w:val="right"/>
        <w:rPr>
          <w:rFonts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pPr>
        <w:adjustRightInd w:val="0"/>
        <w:snapToGrid w:val="0"/>
        <w:spacing w:line="360" w:lineRule="auto"/>
        <w:rPr>
          <w:rFonts w:ascii="仿宋" w:hAnsi="仿宋" w:eastAsia="仿宋"/>
          <w:bCs/>
          <w:color w:val="000000" w:themeColor="text1"/>
          <w:sz w:val="24"/>
          <w:highlight w:val="none"/>
          <w14:textFill>
            <w14:solidFill>
              <w14:schemeClr w14:val="tx1"/>
            </w14:solidFill>
          </w14:textFill>
        </w:rPr>
      </w:pPr>
    </w:p>
    <w:p>
      <w:pPr>
        <w:adjustRightInd w:val="0"/>
        <w:snapToGrid w:val="0"/>
        <w:spacing w:line="360" w:lineRule="auto"/>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（政府采购代理机构）</w:t>
      </w:r>
      <w:r>
        <w:rPr>
          <w:rFonts w:ascii="仿宋" w:hAnsi="仿宋" w:eastAsia="仿宋"/>
          <w:bCs/>
          <w:color w:val="000000" w:themeColor="text1"/>
          <w:sz w:val="28"/>
          <w:szCs w:val="28"/>
          <w:highlight w:val="none"/>
          <w14:textFill>
            <w14:solidFill>
              <w14:schemeClr w14:val="tx1"/>
            </w14:solidFill>
          </w14:textFill>
        </w:rPr>
        <w:t>：</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（谈判供应商名称）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法定代表人姓名</w:t>
      </w:r>
      <w:r>
        <w:rPr>
          <w:rFonts w:ascii="仿宋" w:hAnsi="仿宋" w:eastAsia="仿宋"/>
          <w:bCs/>
          <w:color w:val="000000" w:themeColor="text1"/>
          <w:sz w:val="28"/>
          <w:szCs w:val="28"/>
          <w:highlight w:val="none"/>
          <w14:textFill>
            <w14:solidFill>
              <w14:schemeClr w14:val="tx1"/>
            </w14:solidFill>
          </w14:textFill>
        </w:rPr>
        <w:t>）代表本公司授权</w:t>
      </w:r>
      <w:r>
        <w:rPr>
          <w:rFonts w:ascii="仿宋" w:hAnsi="仿宋" w:eastAsia="仿宋"/>
          <w:bCs/>
          <w:color w:val="000000" w:themeColor="text1"/>
          <w:sz w:val="28"/>
          <w:szCs w:val="28"/>
          <w:highlight w:val="none"/>
          <w:u w:val="single"/>
          <w14:textFill>
            <w14:solidFill>
              <w14:schemeClr w14:val="tx1"/>
            </w14:solidFill>
          </w14:textFill>
        </w:rPr>
        <w:t>（供应商名称）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（被授权代表的姓名）</w:t>
      </w:r>
      <w:r>
        <w:rPr>
          <w:rFonts w:ascii="仿宋" w:hAnsi="仿宋" w:eastAsia="仿宋"/>
          <w:bCs/>
          <w:color w:val="000000" w:themeColor="text1"/>
          <w:sz w:val="28"/>
          <w:szCs w:val="28"/>
          <w:highlight w:val="none"/>
          <w14:textFill>
            <w14:solidFill>
              <w14:schemeClr w14:val="tx1"/>
            </w14:solidFill>
          </w14:textFill>
        </w:rPr>
        <w:t>为本公司的合法代理人，就</w:t>
      </w:r>
      <w:r>
        <w:rPr>
          <w:rFonts w:ascii="仿宋" w:hAnsi="仿宋" w:eastAsia="仿宋"/>
          <w:bCs/>
          <w:color w:val="000000" w:themeColor="text1"/>
          <w:sz w:val="28"/>
          <w:szCs w:val="28"/>
          <w:highlight w:val="none"/>
          <w:u w:val="single"/>
          <w14:textFill>
            <w14:solidFill>
              <w14:schemeClr w14:val="tx1"/>
            </w14:solidFill>
          </w14:textFill>
        </w:rPr>
        <w:t>（项目名称、项目编号）</w:t>
      </w:r>
      <w:r>
        <w:rPr>
          <w:rFonts w:ascii="仿宋" w:hAnsi="仿宋" w:eastAsia="仿宋"/>
          <w:bCs/>
          <w:color w:val="000000" w:themeColor="text1"/>
          <w:sz w:val="28"/>
          <w:szCs w:val="28"/>
          <w:highlight w:val="none"/>
          <w14:textFill>
            <w14:solidFill>
              <w14:schemeClr w14:val="tx1"/>
            </w14:solidFill>
          </w14:textFill>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本授权书自</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日至</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日止签字有效。</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特此声明。</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p>
    <w:p>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lang w:val="en-US" w:eastAsia="zh-CN"/>
        </w:rPr>
        <w:t xml:space="preserve">   </w:t>
      </w:r>
      <w:r>
        <w:rPr>
          <w:rFonts w:ascii="仿宋" w:hAnsi="仿宋" w:eastAsia="仿宋"/>
          <w:bCs/>
          <w:color w:val="000000"/>
          <w:sz w:val="28"/>
          <w:szCs w:val="28"/>
          <w:highlight w:val="none"/>
        </w:rPr>
        <w:t>身份证号码：</w:t>
      </w: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pPr>
        <w:adjustRightInd w:val="0"/>
        <w:snapToGrid w:val="0"/>
        <w:spacing w:line="360" w:lineRule="auto"/>
        <w:rPr>
          <w:rFonts w:ascii="仿宋" w:hAnsi="仿宋" w:eastAsia="仿宋"/>
          <w:bCs/>
          <w:color w:val="000000"/>
          <w:sz w:val="28"/>
          <w:szCs w:val="28"/>
          <w:highlight w:val="none"/>
        </w:rPr>
      </w:pP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粘贴被授权人身份证（复印件）</w:t>
            </w:r>
          </w:p>
        </w:tc>
      </w:tr>
    </w:tbl>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说明：此授权委托书除保留在响应文件中外，还另附一份与被授权人身份证原件一起递交。</w:t>
      </w:r>
    </w:p>
    <w:p>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5"/>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19"/>
        <w:gridCol w:w="1519"/>
        <w:gridCol w:w="1519"/>
        <w:gridCol w:w="154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tcPr>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19" w:type="dxa"/>
            <w:vAlign w:val="center"/>
          </w:tcPr>
          <w:p>
            <w:pPr>
              <w:spacing w:line="500" w:lineRule="exact"/>
              <w:jc w:val="center"/>
              <w:rPr>
                <w:rFonts w:ascii="仿宋" w:hAnsi="仿宋" w:eastAsia="仿宋" w:cs="仿宋"/>
                <w:sz w:val="24"/>
                <w:highlight w:val="none"/>
              </w:rPr>
            </w:pPr>
          </w:p>
        </w:tc>
        <w:tc>
          <w:tcPr>
            <w:tcW w:w="1544"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19"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19" w:type="dxa"/>
            <w:vAlign w:val="center"/>
          </w:tcPr>
          <w:p>
            <w:pPr>
              <w:spacing w:line="500" w:lineRule="exact"/>
              <w:jc w:val="center"/>
              <w:rPr>
                <w:rFonts w:ascii="仿宋" w:hAnsi="仿宋" w:eastAsia="仿宋" w:cs="仿宋"/>
                <w:sz w:val="24"/>
                <w:highlight w:val="none"/>
              </w:rPr>
            </w:pPr>
          </w:p>
        </w:tc>
        <w:tc>
          <w:tcPr>
            <w:tcW w:w="1544"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19" w:type="dxa"/>
            <w:vAlign w:val="center"/>
          </w:tcPr>
          <w:p>
            <w:pPr>
              <w:spacing w:line="500" w:lineRule="exact"/>
              <w:jc w:val="center"/>
              <w:rPr>
                <w:rFonts w:ascii="仿宋" w:hAnsi="仿宋" w:eastAsia="仿宋" w:cs="仿宋"/>
                <w:spacing w:val="-8"/>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19" w:type="dxa"/>
            <w:vAlign w:val="center"/>
          </w:tcPr>
          <w:p>
            <w:pPr>
              <w:spacing w:line="500" w:lineRule="exact"/>
              <w:jc w:val="center"/>
              <w:rPr>
                <w:rFonts w:ascii="仿宋" w:hAnsi="仿宋" w:eastAsia="仿宋" w:cs="仿宋"/>
                <w:b/>
                <w:sz w:val="24"/>
                <w:highlight w:val="none"/>
              </w:rPr>
            </w:pPr>
          </w:p>
        </w:tc>
        <w:tc>
          <w:tcPr>
            <w:tcW w:w="1544" w:type="dxa"/>
            <w:vAlign w:val="center"/>
          </w:tcPr>
          <w:p>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19"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20" w:type="dxa"/>
            <w:gridSpan w:val="5"/>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bl>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b/>
          <w:sz w:val="28"/>
          <w:szCs w:val="28"/>
          <w:highlight w:val="none"/>
        </w:rPr>
      </w:pP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bl>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注：1.表中职务、职称均指在供应商单位的职务、职称；</w:t>
      </w:r>
    </w:p>
    <w:p>
      <w:pPr>
        <w:numPr>
          <w:ilvl w:val="0"/>
          <w:numId w:val="1"/>
        </w:numPr>
        <w:spacing w:line="360" w:lineRule="auto"/>
        <w:ind w:left="478" w:leftChars="228" w:firstLine="0" w:firstLine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供应商必须提供相关人员资格证明文件</w:t>
      </w:r>
      <w:r>
        <w:rPr>
          <w:rFonts w:hint="eastAsia" w:ascii="仿宋" w:hAnsi="仿宋" w:eastAsia="仿宋" w:cs="仿宋"/>
          <w:color w:val="000000" w:themeColor="text1"/>
          <w:sz w:val="24"/>
          <w:highlight w:val="none"/>
          <w:lang w:val="en-US" w:eastAsia="zh-CN"/>
          <w14:textFill>
            <w14:solidFill>
              <w14:schemeClr w14:val="tx1"/>
            </w14:solidFill>
          </w14:textFill>
        </w:rPr>
        <w:t>的电子证书（五大员</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及劳动合同</w:t>
      </w:r>
      <w:r>
        <w:rPr>
          <w:rFonts w:hint="eastAsia" w:ascii="仿宋" w:hAnsi="仿宋" w:eastAsia="仿宋" w:cs="仿宋"/>
          <w:color w:val="000000" w:themeColor="text1"/>
          <w:sz w:val="24"/>
          <w:highlight w:val="none"/>
          <w14:textFill>
            <w14:solidFill>
              <w14:schemeClr w14:val="tx1"/>
            </w14:solidFill>
          </w14:textFill>
        </w:rPr>
        <w:t>加盖公章复印件</w:t>
      </w:r>
      <w:r>
        <w:rPr>
          <w:rFonts w:hint="eastAsia" w:ascii="仿宋" w:hAnsi="仿宋" w:eastAsia="仿宋" w:cs="仿宋"/>
          <w:color w:val="000000" w:themeColor="text1"/>
          <w:sz w:val="24"/>
          <w:highlight w:val="none"/>
          <w:lang w:eastAsia="zh-CN"/>
          <w14:textFill>
            <w14:solidFill>
              <w14:schemeClr w14:val="tx1"/>
            </w14:solidFill>
          </w14:textFill>
        </w:rPr>
        <w:t>；</w:t>
      </w:r>
    </w:p>
    <w:p>
      <w:pPr>
        <w:numPr>
          <w:ilvl w:val="0"/>
          <w:numId w:val="0"/>
        </w:numPr>
        <w:spacing w:line="360" w:lineRule="auto"/>
        <w:ind w:leftChars="228"/>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3.提供近三个月社保花名册（单位专用）打印件及社保发票加盖公章复印件。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社保真伪根据社保花名册授权码进行现场查询，如发现提供虚假材料上报行政监督部门</w:t>
      </w:r>
      <w:r>
        <w:rPr>
          <w:rFonts w:hint="eastAsia" w:ascii="仿宋" w:hAnsi="仿宋" w:eastAsia="仿宋" w:cs="仿宋"/>
          <w:color w:val="000000" w:themeColor="text1"/>
          <w:sz w:val="24"/>
          <w:highlight w:val="none"/>
          <w:lang w:eastAsia="zh-CN"/>
          <w14:textFill>
            <w14:solidFill>
              <w14:schemeClr w14:val="tx1"/>
            </w14:solidFill>
          </w14:textFill>
        </w:rPr>
        <w:t>）</w:t>
      </w:r>
    </w:p>
    <w:p>
      <w:pPr>
        <w:numPr>
          <w:ilvl w:val="0"/>
          <w:numId w:val="0"/>
        </w:numPr>
        <w:spacing w:line="300" w:lineRule="exact"/>
        <w:ind w:firstLine="480" w:firstLineChars="200"/>
        <w:rPr>
          <w:rFonts w:hint="eastAsia" w:ascii="仿宋" w:hAnsi="仿宋" w:eastAsia="仿宋" w:cs="仿宋"/>
          <w:b/>
          <w:bCs/>
          <w:sz w:val="24"/>
          <w:highlight w:val="none"/>
        </w:rPr>
      </w:pP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5"/>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bl>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注：供应商须提供设备为本公司使用证明文件。</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pPr>
        <w:pStyle w:val="7"/>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执业资格名称：</w:t>
            </w:r>
            <w:r>
              <w:rPr>
                <w:rFonts w:hint="eastAsia" w:ascii="仿宋" w:hAnsi="仿宋" w:eastAsia="仿宋" w:cs="仿宋"/>
                <w:sz w:val="28"/>
                <w:szCs w:val="28"/>
                <w:highlight w:val="none"/>
                <w:u w:val="single"/>
              </w:rPr>
              <w:t xml:space="preserve">             </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注册编号：</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bl>
    <w:p>
      <w:pPr>
        <w:pStyle w:val="7"/>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6"/>
        <w:spacing w:line="500" w:lineRule="exact"/>
        <w:ind w:firstLine="0" w:firstLineChars="0"/>
        <w:rPr>
          <w:rFonts w:ascii="仿宋" w:hAnsi="仿宋" w:eastAsia="仿宋" w:cs="仿宋"/>
          <w:b/>
          <w:bCs/>
          <w:color w:val="000000"/>
          <w:position w:val="6"/>
          <w:sz w:val="24"/>
          <w:szCs w:val="24"/>
          <w:highlight w:val="none"/>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widowControl/>
        <w:jc w:val="left"/>
        <w:rPr>
          <w:rFonts w:ascii="仿宋" w:hAnsi="仿宋" w:eastAsia="仿宋"/>
          <w:b/>
          <w:sz w:val="24"/>
          <w:highlight w:val="none"/>
        </w:rPr>
      </w:pPr>
      <w:r>
        <w:rPr>
          <w:rFonts w:ascii="仿宋" w:hAnsi="仿宋" w:eastAsia="仿宋"/>
          <w:b/>
          <w:sz w:val="24"/>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pPr>
        <w:spacing w:line="360" w:lineRule="auto"/>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sz w:val="24"/>
          <w:highlight w:val="none"/>
        </w:rPr>
        <w:t>（供应商自行编写并加盖单位公章）</w:t>
      </w:r>
    </w:p>
    <w:p>
      <w:pPr>
        <w:widowControl/>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pPr>
        <w:pStyle w:val="2"/>
        <w:rPr>
          <w:rFonts w:hint="eastAsia" w:ascii="仿宋" w:hAnsi="仿宋" w:eastAsia="仿宋" w:cs="仿宋_GB2312"/>
          <w:sz w:val="28"/>
          <w:szCs w:val="28"/>
          <w:highlight w:val="none"/>
          <w:lang w:val="zh-CN"/>
        </w:rPr>
      </w:pPr>
    </w:p>
    <w:p>
      <w:pPr>
        <w:rPr>
          <w:rFonts w:hint="eastAsia"/>
          <w:highlight w:val="none"/>
          <w:lang w:val="zh-CN" w:eastAsia="zh-CN"/>
        </w:rPr>
      </w:pPr>
    </w:p>
    <w:p>
      <w:pPr>
        <w:jc w:val="center"/>
        <w:rPr>
          <w:rFonts w:ascii="仿宋" w:hAnsi="仿宋" w:eastAsia="仿宋" w:cs="仿宋"/>
          <w:b/>
          <w:bCs/>
          <w:sz w:val="28"/>
          <w:szCs w:val="28"/>
          <w:highlight w:val="none"/>
        </w:rPr>
      </w:pPr>
      <w:r>
        <w:rPr>
          <w:rFonts w:hint="eastAsia" w:ascii="仿宋" w:hAnsi="仿宋" w:eastAsia="仿宋"/>
          <w:sz w:val="24"/>
          <w:highlight w:val="none"/>
        </w:rPr>
        <w:t>（供应商自行打印并加盖单位公章）</w:t>
      </w: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pPr>
        <w:spacing w:line="500" w:lineRule="exact"/>
        <w:jc w:val="center"/>
        <w:rPr>
          <w:rFonts w:ascii="仿宋" w:hAnsi="仿宋" w:eastAsia="仿宋" w:cs="仿宋"/>
          <w:sz w:val="28"/>
          <w:szCs w:val="28"/>
          <w:highlight w:val="none"/>
        </w:rPr>
      </w:pP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spacing w:line="500" w:lineRule="exact"/>
        <w:rPr>
          <w:rFonts w:ascii="仿宋" w:hAnsi="仿宋" w:eastAsia="仿宋" w:cs="仿宋"/>
          <w:kern w:val="0"/>
          <w:sz w:val="28"/>
          <w:szCs w:val="28"/>
          <w:highlight w:val="none"/>
        </w:rPr>
      </w:pPr>
    </w:p>
    <w:p>
      <w:pPr>
        <w:spacing w:line="500" w:lineRule="exact"/>
        <w:rPr>
          <w:rFonts w:ascii="仿宋" w:hAnsi="仿宋" w:eastAsia="仿宋" w:cs="仿宋"/>
          <w:kern w:val="0"/>
          <w:sz w:val="28"/>
          <w:szCs w:val="28"/>
          <w:highlight w:val="none"/>
        </w:rPr>
      </w:pPr>
    </w:p>
    <w:p>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日内与招标人签订施工合同，逾期愿意自动放弃中标资格。</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kern w:val="0"/>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7"/>
        <w:spacing w:line="500" w:lineRule="exact"/>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p>
    <w:p>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中标人承诺函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如我公司中标，承建 （项目名称），作如下承诺：</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1、与你方签订施工合同后 3 天内不进场施工；或不能按合同约定进度施工，累计超过约定施工工期 7 日仍未完工。你方有权力终止施工合同，一切损失由我方承担。</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2、在施工现场的技术负责人、五大员是谈判响应文件中指定的人员，且不得更换，人员每</w:t>
      </w:r>
      <w:r>
        <w:rPr>
          <w:rFonts w:hint="eastAsia" w:ascii="仿宋" w:hAnsi="仿宋" w:eastAsia="仿宋" w:cs="仿宋"/>
          <w:sz w:val="28"/>
          <w:szCs w:val="28"/>
          <w:highlight w:val="none"/>
          <w:lang w:val="en-US" w:eastAsia="zh-CN"/>
        </w:rPr>
        <w:t>周</w:t>
      </w:r>
      <w:r>
        <w:rPr>
          <w:rFonts w:hint="eastAsia" w:ascii="仿宋" w:hAnsi="仿宋" w:eastAsia="仿宋" w:cs="仿宋"/>
          <w:sz w:val="28"/>
          <w:szCs w:val="28"/>
          <w:highlight w:val="none"/>
        </w:rPr>
        <w:t>在施工现场不少于 6 天，每天不少于 8 小时，完全服从你方的工作安排。如未能履约，你方有权力终止施工合同，一切损失由我方承担。</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4、如发生综合治安案件，每发现一起接受5000元的罚款。</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如违反招标文件中任何一条承诺不能履行，除以上经济处罚外，作为不良记录纳入大冶市农村综合产权交易中心信息管理系统。</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hint="eastAsia" w:ascii="仿宋" w:hAnsi="仿宋" w:eastAsia="仿宋" w:cs="仿宋"/>
          <w:b/>
          <w:bCs/>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2"/>
        <w:rPr>
          <w:rFonts w:hint="eastAsia"/>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ascii="仿宋" w:hAnsi="仿宋" w:eastAsia="仿宋" w:cs="仿宋"/>
          <w:b/>
          <w:bCs/>
          <w:sz w:val="28"/>
          <w:szCs w:val="28"/>
          <w:highlight w:val="none"/>
        </w:rPr>
      </w:pPr>
    </w:p>
    <w:tbl>
      <w:tblPr>
        <w:tblStyle w:val="11"/>
        <w:tblW w:w="9060" w:type="dxa"/>
        <w:jc w:val="center"/>
        <w:tblLayout w:type="fixed"/>
        <w:tblCellMar>
          <w:top w:w="0" w:type="dxa"/>
          <w:left w:w="108" w:type="dxa"/>
          <w:bottom w:w="0" w:type="dxa"/>
          <w:right w:w="108" w:type="dxa"/>
        </w:tblCellMar>
      </w:tblPr>
      <w:tblGrid>
        <w:gridCol w:w="2952"/>
        <w:gridCol w:w="6108"/>
      </w:tblGrid>
      <w:tr>
        <w:tblPrEx>
          <w:tblCellMar>
            <w:top w:w="0" w:type="dxa"/>
            <w:left w:w="108" w:type="dxa"/>
            <w:bottom w:w="0" w:type="dxa"/>
            <w:right w:w="108" w:type="dxa"/>
          </w:tblCellMar>
        </w:tblPrEx>
        <w:trPr>
          <w:trHeight w:val="802" w:hRule="atLeast"/>
          <w:jc w:val="center"/>
        </w:trPr>
        <w:tc>
          <w:tcPr>
            <w:tcW w:w="9060" w:type="dxa"/>
            <w:gridSpan w:val="2"/>
            <w:tcBorders>
              <w:top w:val="nil"/>
              <w:left w:val="nil"/>
              <w:bottom w:val="nil"/>
              <w:right w:val="nil"/>
            </w:tcBorders>
            <w:vAlign w:val="center"/>
          </w:tcPr>
          <w:p>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tblPrEx>
          <w:tblCellMar>
            <w:top w:w="0" w:type="dxa"/>
            <w:left w:w="108" w:type="dxa"/>
            <w:bottom w:w="0" w:type="dxa"/>
            <w:right w:w="108" w:type="dxa"/>
          </w:tblCellMar>
        </w:tblPrEx>
        <w:trPr>
          <w:trHeight w:val="819" w:hRule="atLeast"/>
          <w:jc w:val="center"/>
        </w:trPr>
        <w:tc>
          <w:tcPr>
            <w:tcW w:w="2952" w:type="dxa"/>
            <w:tcBorders>
              <w:top w:val="nil"/>
              <w:left w:val="nil"/>
              <w:bottom w:val="nil"/>
              <w:right w:val="nil"/>
            </w:tcBorders>
            <w:vAlign w:val="bottom"/>
          </w:tcPr>
          <w:p>
            <w:pPr>
              <w:widowControl/>
              <w:snapToGrid w:val="0"/>
              <w:spacing w:line="360" w:lineRule="auto"/>
              <w:ind w:firstLine="480" w:firstLineChars="200"/>
              <w:jc w:val="left"/>
              <w:rPr>
                <w:rFonts w:ascii="仿宋" w:hAnsi="仿宋" w:eastAsia="仿宋"/>
                <w:kern w:val="0"/>
                <w:sz w:val="24"/>
                <w:highlight w:val="none"/>
              </w:rPr>
            </w:pPr>
          </w:p>
        </w:tc>
        <w:tc>
          <w:tcPr>
            <w:tcW w:w="6108" w:type="dxa"/>
            <w:tcBorders>
              <w:top w:val="nil"/>
              <w:left w:val="nil"/>
              <w:bottom w:val="nil"/>
              <w:right w:val="nil"/>
            </w:tcBorders>
            <w:vAlign w:val="bottom"/>
          </w:tcPr>
          <w:p>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tblPrEx>
          <w:tblCellMar>
            <w:top w:w="0" w:type="dxa"/>
            <w:left w:w="108" w:type="dxa"/>
            <w:bottom w:w="0" w:type="dxa"/>
            <w:right w:w="108" w:type="dxa"/>
          </w:tblCellMar>
        </w:tblPrEx>
        <w:trPr>
          <w:trHeight w:val="148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08"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仿宋" w:hAnsi="仿宋" w:eastAsia="仿宋"/>
                <w:b/>
                <w:kern w:val="0"/>
                <w:sz w:val="28"/>
                <w:szCs w:val="28"/>
                <w:highlight w:val="none"/>
              </w:rPr>
            </w:pPr>
          </w:p>
        </w:tc>
      </w:tr>
      <w:tr>
        <w:tblPrEx>
          <w:tblCellMar>
            <w:top w:w="0" w:type="dxa"/>
            <w:left w:w="108" w:type="dxa"/>
            <w:bottom w:w="0" w:type="dxa"/>
            <w:right w:w="108" w:type="dxa"/>
          </w:tblCellMar>
        </w:tblPrEx>
        <w:trPr>
          <w:trHeight w:val="1574"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1389"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lang w:val="en-US" w:eastAsia="zh-CN"/>
              </w:rPr>
              <w:t>大冶市金牛镇产权交易中心开标室</w:t>
            </w:r>
          </w:p>
        </w:tc>
      </w:tr>
      <w:tr>
        <w:tblPrEx>
          <w:tblCellMar>
            <w:top w:w="0" w:type="dxa"/>
            <w:left w:w="108" w:type="dxa"/>
            <w:bottom w:w="0" w:type="dxa"/>
            <w:right w:w="108" w:type="dxa"/>
          </w:tblCellMar>
        </w:tblPrEx>
        <w:trPr>
          <w:trHeight w:val="1831"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tblPrEx>
          <w:tblCellMar>
            <w:top w:w="0" w:type="dxa"/>
            <w:left w:w="108" w:type="dxa"/>
            <w:bottom w:w="0" w:type="dxa"/>
            <w:right w:w="108" w:type="dxa"/>
          </w:tblCellMar>
        </w:tblPrEx>
        <w:trPr>
          <w:trHeight w:val="1253"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tblPrEx>
          <w:tblCellMar>
            <w:top w:w="0" w:type="dxa"/>
            <w:left w:w="108" w:type="dxa"/>
            <w:bottom w:w="0" w:type="dxa"/>
            <w:right w:w="108" w:type="dxa"/>
          </w:tblCellMar>
        </w:tblPrEx>
        <w:trPr>
          <w:trHeight w:val="1807"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bl>
    <w:p>
      <w:pPr>
        <w:spacing w:line="360" w:lineRule="auto"/>
        <w:rPr>
          <w:rFonts w:ascii="仿宋" w:hAnsi="仿宋" w:eastAsia="仿宋"/>
          <w:b/>
          <w:color w:val="000000" w:themeColor="text1"/>
          <w:szCs w:val="21"/>
          <w:highlight w:val="none"/>
          <w:shd w:val="pct10" w:color="auto" w:fill="FFFFFF"/>
          <w14:textFill>
            <w14:solidFill>
              <w14:schemeClr w14:val="tx1"/>
            </w14:solidFill>
          </w14:textFill>
        </w:rPr>
      </w:pPr>
      <w:r>
        <w:rPr>
          <w:rFonts w:ascii="仿宋" w:hAnsi="仿宋" w:eastAsia="仿宋"/>
          <w:b/>
          <w:color w:val="000000" w:themeColor="text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14:textFill>
            <w14:solidFill>
              <w14:schemeClr w14:val="tx1"/>
            </w14:solidFill>
          </w14:textFill>
        </w:rPr>
        <w:t>。供应商报价不能超过第一轮报价，否则视为无效投标。</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outlineLvl w:val="0"/>
        <w:rPr>
          <w:rFonts w:ascii="黑体" w:hAnsi="黑体" w:eastAsia="黑体" w:cs="黑体"/>
          <w:bCs/>
          <w:kern w:val="0"/>
          <w:sz w:val="32"/>
          <w:szCs w:val="32"/>
          <w:highlight w:val="none"/>
        </w:rPr>
      </w:pPr>
      <w:bookmarkStart w:id="6" w:name="_Toc27025"/>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pPr>
        <w:spacing w:line="500" w:lineRule="exact"/>
        <w:rPr>
          <w:rFonts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w:t>
      </w:r>
      <w:r>
        <w:rPr>
          <w:rFonts w:hint="eastAsia" w:ascii="仿宋" w:hAnsi="仿宋" w:eastAsia="仿宋" w:cstheme="majorEastAsia"/>
          <w:sz w:val="28"/>
          <w:szCs w:val="28"/>
          <w:highlight w:val="none"/>
          <w:lang w:val="en-US" w:eastAsia="zh-CN"/>
        </w:rPr>
        <w:t>2022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14D2C"/>
    <w:multiLevelType w:val="singleLevel"/>
    <w:tmpl w:val="53114D2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U5OTFhMTdiNjRiMThlNzljZGExYjAxN2Y2ODIifQ=="/>
  </w:docVars>
  <w:rsids>
    <w:rsidRoot w:val="071541EC"/>
    <w:rsid w:val="051F2311"/>
    <w:rsid w:val="071541EC"/>
    <w:rsid w:val="094D0474"/>
    <w:rsid w:val="11124F95"/>
    <w:rsid w:val="13CE33F5"/>
    <w:rsid w:val="15E80CF9"/>
    <w:rsid w:val="160550C9"/>
    <w:rsid w:val="19F45D1F"/>
    <w:rsid w:val="1A6552A8"/>
    <w:rsid w:val="1D840FC9"/>
    <w:rsid w:val="1E7B262B"/>
    <w:rsid w:val="1F35421B"/>
    <w:rsid w:val="301B5FE2"/>
    <w:rsid w:val="30B654E5"/>
    <w:rsid w:val="4BAD7146"/>
    <w:rsid w:val="4E0B3D7D"/>
    <w:rsid w:val="535A3BB9"/>
    <w:rsid w:val="57A31A70"/>
    <w:rsid w:val="65341918"/>
    <w:rsid w:val="675E2702"/>
    <w:rsid w:val="73527448"/>
    <w:rsid w:val="77546304"/>
    <w:rsid w:val="7A01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Body Text Indent"/>
    <w:basedOn w:val="1"/>
    <w:qFormat/>
    <w:uiPriority w:val="0"/>
    <w:pPr>
      <w:ind w:firstLine="830" w:firstLineChars="352"/>
    </w:pPr>
    <w:rPr>
      <w:rFonts w:ascii="FangSong_GB2312" w:eastAsia="FangSong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9061"/>
      </w:tabs>
    </w:pPr>
    <w:rPr>
      <w:rFonts w:ascii="宋体" w:hAnsi="宋体" w:eastAsia="FangSong_GB2312"/>
      <w:b/>
      <w:sz w:val="32"/>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2023-09-13T09:27:00Z</dcterms:created>
  <dc:creator>Administrator</dc:creator>
  <cp:lastModifiedBy> '栗小畈 </cp:lastModifiedBy>
  <cp:lastPrinted>2023-11-09T07:22:20Z</cp:lastPrinted>
  <dcterms:modified xsi:type="dcterms:W3CDTF">2023-11-09T07:34:56Z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B1019BCA8BA84A66850CC977F6125F7C_11</vt:lpwstr>
  </property>
</Properties>
</file>