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冶农招【2023】095号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大冶市灵乡镇大庄村幼泉纪湾产业路（1-5线）工程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大冶市灵乡镇大庄村村民委员会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三</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大冶市灵乡镇大庄村村民委员会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大冶市灵乡镇大庄村幼泉纪湾产业路（1-5线）工程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eastAsia="zh-CN"/>
        </w:rPr>
        <w:t>冶农招【2023】095号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大冶市灵乡镇大庄村幼泉纪湾产业路（1-5线）工程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495208.92</w:t>
      </w:r>
      <w:r>
        <w:rPr>
          <w:rFonts w:hint="eastAsia" w:ascii="仿宋" w:hAnsi="仿宋" w:eastAsia="仿宋" w:cs="仿宋"/>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上级奖补及村级自筹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、供应商须具备良好的财务状况，须提供近三年</w:t>
      </w:r>
      <w:r>
        <w:rPr>
          <w:rFonts w:hint="eastAsia" w:ascii="仿宋" w:hAnsi="仿宋" w:eastAsia="仿宋" w:cs="仿宋"/>
          <w:color w:val="auto"/>
          <w:sz w:val="28"/>
          <w:szCs w:val="28"/>
          <w:highlight w:val="none"/>
          <w:lang w:eastAsia="zh-CN"/>
        </w:rPr>
        <w:t>度任一年经审计的财务审计报告（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供应商具备行政主管部门核发的市政工程施工总承包叁级或以上资质</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、近三年（以投标截止日时间往前推算三年）至少</w:t>
      </w:r>
      <w:r>
        <w:rPr>
          <w:rFonts w:hint="eastAsia" w:ascii="仿宋" w:hAnsi="仿宋" w:eastAsia="仿宋" w:cs="仿宋"/>
          <w:color w:val="auto"/>
          <w:sz w:val="28"/>
          <w:szCs w:val="28"/>
          <w:highlight w:val="none"/>
          <w:lang w:val="en-US" w:eastAsia="zh-CN"/>
        </w:rPr>
        <w:t>承接过</w:t>
      </w:r>
      <w:r>
        <w:rPr>
          <w:rFonts w:hint="eastAsia" w:ascii="仿宋" w:hAnsi="仿宋" w:eastAsia="仿宋" w:cs="仿宋"/>
          <w:color w:val="auto"/>
          <w:sz w:val="28"/>
          <w:szCs w:val="28"/>
          <w:highlight w:val="none"/>
        </w:rPr>
        <w:t>一项</w:t>
      </w:r>
      <w:r>
        <w:rPr>
          <w:rFonts w:hint="eastAsia" w:ascii="仿宋" w:hAnsi="仿宋" w:eastAsia="仿宋" w:cs="仿宋"/>
          <w:color w:val="auto"/>
          <w:sz w:val="28"/>
          <w:szCs w:val="28"/>
          <w:highlight w:val="none"/>
          <w:lang w:val="en-US" w:eastAsia="zh-CN"/>
        </w:rPr>
        <w:t>类似</w:t>
      </w:r>
      <w:r>
        <w:rPr>
          <w:rFonts w:hint="eastAsia" w:ascii="仿宋" w:hAnsi="仿宋" w:eastAsia="仿宋" w:cs="仿宋"/>
          <w:color w:val="auto"/>
          <w:sz w:val="28"/>
          <w:szCs w:val="28"/>
          <w:highlight w:val="none"/>
        </w:rPr>
        <w:t>业绩（并提供查询网址和页面截图、中标通知书、施工合同为准</w:t>
      </w:r>
      <w:r>
        <w:rPr>
          <w:rFonts w:hint="eastAsia" w:ascii="仿宋" w:hAnsi="仿宋" w:eastAsia="仿宋" w:cs="仿宋"/>
          <w:color w:val="auto"/>
          <w:sz w:val="28"/>
          <w:szCs w:val="28"/>
          <w:highlight w:val="none"/>
          <w:lang w:val="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http://dayeyun.cjyun.org/z/133229/）发布，供应商可于2023年10月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25日起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lang w:val="en-US" w:eastAsia="zh-CN"/>
        </w:rPr>
        <w:t>月1日14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采购人：大冶市灵乡镇大庄村村民委员会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纪</w:t>
      </w:r>
      <w:r>
        <w:rPr>
          <w:rFonts w:hint="eastAsia" w:ascii="仿宋" w:hAnsi="仿宋" w:eastAsia="仿宋" w:cs="仿宋"/>
          <w:color w:val="auto"/>
          <w:sz w:val="28"/>
          <w:szCs w:val="28"/>
          <w:highlight w:val="none"/>
          <w:lang w:eastAsia="zh-CN"/>
        </w:rPr>
        <w:t>书记（</w:t>
      </w:r>
      <w:r>
        <w:rPr>
          <w:rFonts w:hint="eastAsia" w:ascii="仿宋" w:hAnsi="仿宋" w:eastAsia="仿宋" w:cs="仿宋"/>
          <w:kern w:val="0"/>
          <w:sz w:val="28"/>
          <w:szCs w:val="28"/>
          <w:lang w:val="en-US" w:eastAsia="zh-CN" w:bidi="ar-SA"/>
        </w:rPr>
        <w:t>17754479338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大冶市灵乡镇大庄村村民委员会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大冶市灵乡镇大庄村村民委员会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sz w:val="28"/>
          <w:szCs w:val="28"/>
          <w:lang w:eastAsia="zh-CN"/>
        </w:rPr>
        <w:t>冶农招【2023】095号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大冶市灵乡镇大庄村幼泉纪湾产业路（1-5线）工程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工程竣工验收合格审计后付至80%，剩余20%待质保期满后一次性付清。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40</w:t>
      </w:r>
      <w:r>
        <w:rPr>
          <w:rFonts w:hint="eastAsia" w:ascii="仿宋" w:hAnsi="仿宋" w:eastAsia="仿宋" w:cs="仿宋"/>
          <w:color w:val="000000" w:themeColor="text1"/>
          <w:sz w:val="28"/>
          <w:szCs w:val="28"/>
          <w:highlight w:val="none"/>
          <w:lang w:eastAsia="zh-CN"/>
          <w14:textFill>
            <w14:solidFill>
              <w14:schemeClr w14:val="tx1"/>
            </w14:solidFill>
          </w14:textFill>
        </w:rPr>
        <w:t>日历天</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施工现场项目经理，技术负责人，五大员每日到场不低于8小时，</w:t>
      </w:r>
      <w:r>
        <w:rPr>
          <w:rFonts w:hint="eastAsia" w:ascii="仿宋" w:hAnsi="仿宋" w:eastAsia="仿宋" w:cs="仿宋"/>
          <w:color w:val="auto"/>
          <w:kern w:val="2"/>
          <w:sz w:val="28"/>
          <w:szCs w:val="28"/>
          <w:lang w:val="zh-CN" w:eastAsia="zh-CN" w:bidi="ar-SA"/>
        </w:rPr>
        <w:t>并提供承诺函。（</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495208.92</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五、近三年</w:t>
      </w:r>
      <w:r>
        <w:rPr>
          <w:rFonts w:hint="eastAsia" w:ascii="仿宋" w:hAnsi="仿宋" w:eastAsia="仿宋" w:cs="仿宋"/>
          <w:b/>
          <w:sz w:val="28"/>
          <w:szCs w:val="28"/>
          <w:lang w:val="zh-CN" w:eastAsia="zh-CN"/>
        </w:rPr>
        <w:t>度任一年经审计的财务审计报告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en-US"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、供应商须具备良好的财务状况，须提供近三年</w:t>
      </w:r>
      <w:r>
        <w:rPr>
          <w:rFonts w:hint="eastAsia" w:ascii="仿宋" w:hAnsi="仿宋" w:eastAsia="仿宋" w:cs="仿宋"/>
          <w:sz w:val="24"/>
          <w:szCs w:val="24"/>
          <w:highlight w:val="none"/>
          <w:lang w:val="zh-CN" w:eastAsia="zh-CN"/>
        </w:rPr>
        <w:t>度任一年经审计的财务审计报告（</w:t>
      </w:r>
      <w:r>
        <w:rPr>
          <w:rFonts w:hint="eastAsia" w:ascii="仿宋" w:hAnsi="仿宋" w:eastAsia="仿宋" w:cs="仿宋"/>
          <w:sz w:val="24"/>
          <w:szCs w:val="24"/>
          <w:highlight w:val="none"/>
          <w:lang w:val="en-US" w:eastAsia="zh-CN"/>
        </w:rPr>
        <w:t>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5、供应商具备行政主管部门核发的市政工程施工总承包叁级或以上资质、具备有效的安全生产许可证，并在人员、设备、资金等方面具有相应的施工能力。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6、拟派的项目经理须具备行政主管部门核发的市政工程专业贰级或以上注册建造师资格证书（不含临时证），具备有效的安</w:t>
      </w:r>
      <w:bookmarkStart w:id="7" w:name="_GoBack"/>
      <w:bookmarkEnd w:id="7"/>
      <w:r>
        <w:rPr>
          <w:rFonts w:hint="eastAsia" w:ascii="仿宋" w:hAnsi="仿宋" w:eastAsia="仿宋" w:cs="仿宋"/>
          <w:sz w:val="24"/>
          <w:szCs w:val="24"/>
          <w:highlight w:val="none"/>
          <w:lang w:val="en-US" w:eastAsia="zh-CN"/>
        </w:rPr>
        <w:t>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、近三年（以投标截止日时间往前推算三年）至少</w:t>
      </w:r>
      <w:r>
        <w:rPr>
          <w:rFonts w:hint="eastAsia" w:ascii="仿宋" w:hAnsi="仿宋" w:eastAsia="仿宋" w:cs="仿宋"/>
          <w:sz w:val="24"/>
          <w:szCs w:val="24"/>
          <w:highlight w:val="none"/>
          <w:lang w:val="zh-CN" w:eastAsia="zh-CN"/>
        </w:rPr>
        <w:t>承接过</w:t>
      </w:r>
      <w:r>
        <w:rPr>
          <w:rFonts w:hint="eastAsia" w:ascii="仿宋" w:hAnsi="仿宋" w:eastAsia="仿宋" w:cs="仿宋"/>
          <w:sz w:val="24"/>
          <w:szCs w:val="24"/>
          <w:highlight w:val="none"/>
          <w:lang w:val="zh-CN"/>
        </w:rPr>
        <w:t>一项</w:t>
      </w:r>
      <w:r>
        <w:rPr>
          <w:rFonts w:hint="eastAsia" w:ascii="仿宋" w:hAnsi="仿宋" w:eastAsia="仿宋" w:cs="仿宋"/>
          <w:sz w:val="24"/>
          <w:szCs w:val="24"/>
          <w:highlight w:val="none"/>
          <w:lang w:val="zh-CN" w:eastAsia="zh-CN"/>
        </w:rPr>
        <w:t>类似</w:t>
      </w:r>
      <w:r>
        <w:rPr>
          <w:rFonts w:hint="eastAsia" w:ascii="仿宋" w:hAnsi="仿宋" w:eastAsia="仿宋" w:cs="仿宋"/>
          <w:sz w:val="24"/>
          <w:szCs w:val="24"/>
          <w:highlight w:val="none"/>
          <w:lang w:val="zh-CN"/>
        </w:rPr>
        <w:t>业绩（并提供查询网址和页面截图、中标通知书、施工合同为准）；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、本工程施工过程中的工农关系由供应商自行处理（并提供承诺函）</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65BBB"/>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66582"/>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24036A"/>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E31F1"/>
    <w:rsid w:val="34CA0B0B"/>
    <w:rsid w:val="34F7346A"/>
    <w:rsid w:val="350C68FF"/>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524CBE"/>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10862</Words>
  <Characters>11213</Characters>
  <Lines>95</Lines>
  <Paragraphs>26</Paragraphs>
  <TotalTime>11</TotalTime>
  <ScaleCrop>false</ScaleCrop>
  <LinksUpToDate>false</LinksUpToDate>
  <CharactersWithSpaces>12622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2023-10-13T03:17:00Z</cp:lastPrinted>
  <dcterms:modified xsi:type="dcterms:W3CDTF">2023-10-25T06:17:31Z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