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11"/>
        <w:tblOverlap w:val="never"/>
        <w:tblW w:w="10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97"/>
        <w:gridCol w:w="1057"/>
        <w:gridCol w:w="430"/>
        <w:gridCol w:w="1276"/>
        <w:gridCol w:w="709"/>
        <w:gridCol w:w="1417"/>
        <w:gridCol w:w="709"/>
        <w:gridCol w:w="850"/>
        <w:gridCol w:w="142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43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 xml:space="preserve">附件                                                   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备案编号：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华文中宋" w:hAnsi="华文中宋" w:eastAsia="华文中宋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</w:rPr>
              <w:t xml:space="preserve">    _____省(区、市）跨省异地就医登记备案表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险种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2.城乡居民医保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1.异地安置退休人员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4.异地转诊人员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登记类别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社会保障号码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社会保障卡卡号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(可选）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参保地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异地联系地址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转往省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（市、区）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(市、州)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034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温馨提示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1．跨省异地就医执行就医地目录、参保地起付线封顶线及支付比例。因各地目录差异，直接结算与回参保地报销可能存在待遇差，属于正常现象。</w:t>
            </w:r>
          </w:p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2．办理备案时直接备案到就医地市或省份。参保人员根据病情、居住地、交通等情况，自主选择就医地开通的跨省定点医疗机构住院就医。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　3．到北京、天津、上海、重庆、海南、西藏和新疆兵团就医，备案到就医省份即可。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4．未按规定办理登记备案手续，或在就医地非跨省定点医疗机构发生的医疗费用，按参保地现有规定办理。</w:t>
            </w:r>
          </w:p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（被委托人）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3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3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经办机构：             联系电话: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经办人: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经办日期: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66028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5A9D"/>
    <w:multiLevelType w:val="multilevel"/>
    <w:tmpl w:val="6C595A9D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53C"/>
    <w:rsid w:val="000474A9"/>
    <w:rsid w:val="00184C49"/>
    <w:rsid w:val="003C517D"/>
    <w:rsid w:val="006F453C"/>
    <w:rsid w:val="00800352"/>
    <w:rsid w:val="00832CD0"/>
    <w:rsid w:val="00AF777B"/>
    <w:rsid w:val="00B34112"/>
    <w:rsid w:val="00E60E33"/>
    <w:rsid w:val="06F912CC"/>
    <w:rsid w:val="69D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2017-12-29T07:39:00Z</dcterms:created>
  <dc:creator>rsb</dc:creator>
  <cp:lastModifiedBy>潘金彪</cp:lastModifiedBy>
  <cp:lastPrinted>2017-12-29T07:28:00Z</cp:lastPrinted>
  <dcterms:modified xsi:type="dcterms:W3CDTF">2018-08-24T04:11:17Z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