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adjustRightInd w:val="0"/>
        <w:snapToGrid w:val="0"/>
        <w:spacing w:line="330" w:lineRule="atLeast"/>
        <w:jc w:val="center"/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大中小微型企业划分标准</w:t>
      </w:r>
    </w:p>
    <w:tbl>
      <w:tblPr>
        <w:tblStyle w:val="6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335"/>
        <w:gridCol w:w="690"/>
        <w:gridCol w:w="1096"/>
        <w:gridCol w:w="1658"/>
        <w:gridCol w:w="1390"/>
        <w:gridCol w:w="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行业名称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大型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小型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50≤Y＜500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 *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2000≤Y＜40000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300≤Y＜2000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Y≥80000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6000≤Y＜80000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300≤Y＜6000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Z≥80000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5000≤Z＜80000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300≤Z＜5000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20≤X＜200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5≤X＜20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5000≤Y＜40000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50≤X＜300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10≤X＜50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100≤Y＜500 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交通运输业 *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3000≤Y＜30000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200≤Y＜3000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仓储业*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08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1000≤Y＜30000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2000≤Y＜30000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08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08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信息传输业 *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1000≤Y＜100000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20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18"/>
                <w:szCs w:val="18"/>
              </w:rPr>
              <w:t>软件和信息技术服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务业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08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1000≤Y＜10000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50≤Y＜1000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1000≤Y＜200000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5000≤Z＜10000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2000≤Z＜5000   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Y≥5000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08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1000≤Y＜5000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500≤Y＜1000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20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08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2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Z≥120000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8000≤Z＜120000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100≤Z＜8000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其他未列明行业 *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08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说明：</w:t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　　1.大型、中型和小型企业须同时满足所列指标的下限，否则下划一档；微型企业只须满足所列指标中的一项即可。</w:t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　　2.附表中各行业的范围以《国民经济行业分类》（GB/T4754-2017）为准。带*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　　3.企业划分指标以现行统计制度为准。（1）从业人员，是指期末从业人员数，没有期末从业人员数的，采用全年平均人员数代替。（2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3）资产总额，采用资产总计代替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49A445E-260B-4CA7-8D87-8B1B4CD172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E586E0-2703-4112-A717-B906CE3131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0E4F19-96D4-404E-97ED-46323A4B32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mYwYmM2OTNjZDk5ZTk5ZjYyMzYwYWRmNGJhZWUifQ=="/>
  </w:docVars>
  <w:rsids>
    <w:rsidRoot w:val="26183F52"/>
    <w:rsid w:val="26183F52"/>
    <w:rsid w:val="5F43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793</Words>
  <Characters>1295</Characters>
  <Lines>0</Lines>
  <Paragraphs>0</Paragraphs>
  <TotalTime>1</TotalTime>
  <ScaleCrop>false</ScaleCrop>
  <LinksUpToDate>false</LinksUpToDate>
  <CharactersWithSpaces>1342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2022-04-26T07:01:00Z</dcterms:created>
  <dc:creator>yoho</dc:creator>
  <cp:lastModifiedBy>yoho</cp:lastModifiedBy>
  <dcterms:modified xsi:type="dcterms:W3CDTF">2022-04-26T07:04:11Z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1E52F367AB5649EDAC03168E928728D3</vt:lpwstr>
  </property>
</Properties>
</file>