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hint="eastAsia" w:ascii="黑体" w:hAnsi="黑体" w:eastAsia="黑体" w:cs="黑体"/>
          <w:color w:val="000000"/>
          <w:sz w:val="32"/>
          <w:szCs w:val="32"/>
        </w:rPr>
      </w:pPr>
      <w:bookmarkStart w:id="2" w:name="_GoBack"/>
      <w:r>
        <w:rPr>
          <w:rFonts w:hint="eastAsia" w:ascii="黑体" w:hAnsi="黑体" w:eastAsia="黑体" w:cs="黑体"/>
          <w:color w:val="000000"/>
          <w:sz w:val="32"/>
          <w:szCs w:val="32"/>
        </w:rPr>
        <w:t>附件5</w:t>
      </w:r>
    </w:p>
    <w:p>
      <w:pPr>
        <w:pStyle w:val="7"/>
        <w:widowControl w:val="0"/>
        <w:spacing w:before="0" w:beforeAutospacing="0" w:after="0" w:afterAutospacing="0" w:line="570" w:lineRule="exact"/>
        <w:jc w:val="both"/>
        <w:rPr>
          <w:rFonts w:hint="eastAsia" w:ascii="方正大标宋_GBK" w:hAnsi="方正大标宋_GBK" w:eastAsia="方正大标宋_GBK" w:cs="方正大标宋_GBK"/>
          <w:color w:val="000000"/>
          <w:sz w:val="44"/>
          <w:szCs w:val="44"/>
        </w:rPr>
      </w:pPr>
    </w:p>
    <w:p>
      <w:pPr>
        <w:pStyle w:val="7"/>
        <w:widowControl w:val="0"/>
        <w:spacing w:before="0" w:beforeAutospacing="0" w:after="0" w:afterAutospacing="0" w:line="570" w:lineRule="exact"/>
        <w:jc w:val="center"/>
        <w:rPr>
          <w:rFonts w:ascii="方正大标宋_GBK" w:hAnsi="方正大标宋_GBK" w:eastAsia="方正大标宋_GBK" w:cs="方正大标宋_GBK"/>
          <w:color w:val="000000"/>
          <w:spacing w:val="-6"/>
          <w:sz w:val="44"/>
          <w:szCs w:val="44"/>
        </w:rPr>
      </w:pPr>
      <w:r>
        <w:rPr>
          <w:rFonts w:hint="eastAsia" w:ascii="方正大标宋_GBK" w:hAnsi="方正大标宋_GBK" w:eastAsia="方正大标宋_GBK" w:cs="方正大标宋_GBK"/>
          <w:color w:val="000000"/>
          <w:sz w:val="44"/>
          <w:szCs w:val="44"/>
        </w:rPr>
        <w:t>2</w:t>
      </w:r>
      <w:r>
        <w:rPr>
          <w:rFonts w:ascii="方正大标宋_GBK" w:hAnsi="方正大标宋_GBK" w:eastAsia="方正大标宋_GBK" w:cs="方正大标宋_GBK"/>
          <w:color w:val="000000"/>
          <w:sz w:val="44"/>
          <w:szCs w:val="44"/>
        </w:rPr>
        <w:t>022</w:t>
      </w:r>
      <w:r>
        <w:rPr>
          <w:rFonts w:hint="eastAsia" w:ascii="方正大标宋_GBK" w:hAnsi="方正大标宋_GBK" w:eastAsia="方正大标宋_GBK" w:cs="方正大标宋_GBK"/>
          <w:color w:val="000000"/>
          <w:sz w:val="44"/>
          <w:szCs w:val="44"/>
        </w:rPr>
        <w:t>年度湖北省</w:t>
      </w:r>
      <w:r>
        <w:rPr>
          <w:rFonts w:hint="eastAsia" w:ascii="方正大标宋_GBK" w:hAnsi="方正大标宋_GBK" w:eastAsia="方正大标宋_GBK" w:cs="方正大标宋_GBK"/>
          <w:color w:val="000000"/>
          <w:spacing w:val="-6"/>
          <w:sz w:val="44"/>
          <w:szCs w:val="44"/>
        </w:rPr>
        <w:t>定向免费医学生招录</w:t>
      </w:r>
    </w:p>
    <w:p>
      <w:pPr>
        <w:pStyle w:val="7"/>
        <w:widowControl w:val="0"/>
        <w:spacing w:before="0" w:beforeAutospacing="0" w:after="0" w:afterAutospacing="0" w:line="570" w:lineRule="exact"/>
        <w:jc w:val="center"/>
        <w:rPr>
          <w:rFonts w:hint="eastAsia" w:ascii="方正大标宋_GBK" w:hAnsi="方正大标宋_GBK" w:eastAsia="方正大标宋_GBK" w:cs="方正大标宋_GBK"/>
          <w:color w:val="000000"/>
          <w:sz w:val="44"/>
          <w:szCs w:val="44"/>
        </w:rPr>
      </w:pPr>
      <w:r>
        <w:rPr>
          <w:rFonts w:hint="eastAsia" w:ascii="方正大标宋_GBK" w:hAnsi="方正大标宋_GBK" w:eastAsia="方正大标宋_GBK" w:cs="方正大标宋_GBK"/>
          <w:color w:val="000000"/>
          <w:spacing w:val="-6"/>
          <w:sz w:val="44"/>
          <w:szCs w:val="44"/>
        </w:rPr>
        <w:t>政策宣贯材料</w:t>
      </w:r>
    </w:p>
    <w:bookmarkEnd w:id="2"/>
    <w:p>
      <w:pPr>
        <w:pStyle w:val="7"/>
        <w:widowControl w:val="0"/>
        <w:spacing w:before="0" w:beforeAutospacing="0" w:after="0" w:afterAutospacing="0" w:line="570" w:lineRule="exact"/>
        <w:ind w:firstLine="640"/>
        <w:jc w:val="both"/>
        <w:rPr>
          <w:rFonts w:hint="eastAsia" w:ascii="Times New Roman" w:hAnsi="Times New Roman" w:eastAsia="仿宋_GB2312"/>
          <w:color w:val="000000"/>
          <w:sz w:val="32"/>
          <w:szCs w:val="32"/>
        </w:rPr>
      </w:pPr>
    </w:p>
    <w:p>
      <w:pPr>
        <w:pStyle w:val="7"/>
        <w:widowControl w:val="0"/>
        <w:spacing w:before="0" w:beforeAutospacing="0" w:after="0" w:afterAutospacing="0" w:line="570" w:lineRule="exact"/>
        <w:ind w:firstLine="640"/>
        <w:jc w:val="both"/>
        <w:rPr>
          <w:rFonts w:hint="eastAsia" w:ascii="黑体" w:hAnsi="黑体" w:eastAsia="黑体" w:cs="黑体"/>
          <w:color w:val="000000"/>
          <w:sz w:val="32"/>
          <w:szCs w:val="32"/>
        </w:rPr>
      </w:pPr>
      <w:r>
        <w:rPr>
          <w:rFonts w:hint="eastAsia" w:ascii="黑体" w:hAnsi="黑体" w:eastAsia="黑体" w:cs="黑体"/>
          <w:color w:val="000000"/>
          <w:sz w:val="32"/>
          <w:szCs w:val="32"/>
        </w:rPr>
        <w:t>一、 政策依据</w:t>
      </w:r>
    </w:p>
    <w:p>
      <w:pPr>
        <w:pStyle w:val="7"/>
        <w:widowControl w:val="0"/>
        <w:spacing w:before="0" w:beforeAutospacing="0" w:after="0" w:afterAutospacing="0" w:line="570" w:lineRule="exact"/>
        <w:ind w:firstLine="640"/>
        <w:jc w:val="both"/>
        <w:rPr>
          <w:rFonts w:ascii="Times New Roman" w:hAnsi="Times New Roman" w:eastAsia="仿宋_GB2312"/>
          <w:color w:val="000000"/>
          <w:sz w:val="32"/>
          <w:szCs w:val="32"/>
        </w:rPr>
      </w:pPr>
      <w:r>
        <w:rPr>
          <w:rFonts w:hint="eastAsia" w:eastAsia="仿宋_GB2312"/>
          <w:sz w:val="32"/>
          <w:szCs w:val="32"/>
        </w:rPr>
        <w:t>国办《关于改革完善全科医生培养与使用激励机制的意见》（国办发〔2018〕3号），国办《关于加快医学教育创新发展的指导意见》（国办发〔2020〕34号），</w:t>
      </w:r>
      <w:r>
        <w:rPr>
          <w:rFonts w:eastAsia="仿宋_GB2312"/>
          <w:sz w:val="32"/>
          <w:szCs w:val="32"/>
        </w:rPr>
        <w:t>国家发改委、卫生部</w:t>
      </w:r>
      <w:bookmarkStart w:id="0" w:name="_Hlk102641654"/>
      <w:r>
        <w:rPr>
          <w:rFonts w:hint="eastAsia" w:eastAsia="仿宋_GB2312"/>
          <w:sz w:val="32"/>
          <w:szCs w:val="32"/>
        </w:rPr>
        <w:t>等</w:t>
      </w:r>
      <w:r>
        <w:rPr>
          <w:rFonts w:eastAsia="仿宋_GB2312"/>
          <w:sz w:val="32"/>
          <w:szCs w:val="32"/>
        </w:rPr>
        <w:t>5部委</w:t>
      </w:r>
      <w:bookmarkEnd w:id="0"/>
      <w:r>
        <w:rPr>
          <w:rFonts w:eastAsia="仿宋_GB2312"/>
          <w:sz w:val="32"/>
          <w:szCs w:val="32"/>
        </w:rPr>
        <w:t>下发</w:t>
      </w:r>
      <w:r>
        <w:rPr>
          <w:rFonts w:hint="eastAsia" w:eastAsia="仿宋_GB2312"/>
          <w:sz w:val="32"/>
          <w:szCs w:val="32"/>
        </w:rPr>
        <w:t>的《关于印发开展农村订单定向医学生免费培养工作实施意见的通知》（发改社会〔2010〕1198号），国家卫健委、中央编办等</w:t>
      </w:r>
      <w:r>
        <w:rPr>
          <w:rFonts w:eastAsia="仿宋_GB2312"/>
          <w:sz w:val="32"/>
          <w:szCs w:val="32"/>
        </w:rPr>
        <w:t>7</w:t>
      </w:r>
      <w:r>
        <w:rPr>
          <w:rFonts w:hint="eastAsia" w:eastAsia="仿宋_GB2312"/>
          <w:sz w:val="32"/>
          <w:szCs w:val="32"/>
        </w:rPr>
        <w:t>部委印发《关于做好农村订单定向医学免费培养医学生就业安置和履约管理工作的通知》（国卫科教发〔2019〕56号）以及省人民政府办公厅印发《关于加快全省医学教育创新发展实施方案的通知》（鄂政办发〔2021〕2号），</w:t>
      </w:r>
      <w:r>
        <w:rPr>
          <w:rFonts w:hint="eastAsia" w:ascii="Times New Roman" w:hAnsi="Times New Roman" w:eastAsia="仿宋_GB2312"/>
          <w:color w:val="000000"/>
          <w:sz w:val="32"/>
          <w:szCs w:val="32"/>
        </w:rPr>
        <w:t>省卫健委、省委编办等联合印发的《关于统筹做好农村订单定向免费医学生培养工作的通知》（鄂卫通〔2020〕25号），《关于加强和规范湖北省农村订单定向免费医学生履约过程管理的通知》（鄂卫通〔2021〕10号）等系列定向医学生政策文件。</w:t>
      </w:r>
    </w:p>
    <w:p>
      <w:pPr>
        <w:pStyle w:val="7"/>
        <w:widowControl w:val="0"/>
        <w:spacing w:before="0" w:beforeAutospacing="0" w:after="0" w:afterAutospacing="0" w:line="570" w:lineRule="exact"/>
        <w:ind w:firstLine="640"/>
        <w:jc w:val="both"/>
        <w:rPr>
          <w:rFonts w:hint="eastAsia" w:ascii="黑体" w:hAnsi="黑体" w:eastAsia="黑体" w:cs="黑体"/>
          <w:color w:val="000000"/>
          <w:sz w:val="32"/>
          <w:szCs w:val="32"/>
        </w:rPr>
      </w:pPr>
      <w:r>
        <w:rPr>
          <w:rFonts w:hint="eastAsia" w:ascii="黑体" w:hAnsi="黑体" w:eastAsia="黑体" w:cs="黑体"/>
          <w:color w:val="000000"/>
          <w:sz w:val="32"/>
          <w:szCs w:val="32"/>
        </w:rPr>
        <w:t>二、</w:t>
      </w:r>
      <w:r>
        <w:rPr>
          <w:rFonts w:ascii="Calibri" w:eastAsia="黑体" w:cs="Calibri"/>
          <w:color w:val="000000"/>
          <w:sz w:val="32"/>
          <w:szCs w:val="32"/>
        </w:rPr>
        <w:t> </w:t>
      </w:r>
      <w:r>
        <w:rPr>
          <w:rFonts w:hint="eastAsia" w:ascii="黑体" w:hAnsi="黑体" w:eastAsia="黑体" w:cs="黑体"/>
          <w:color w:val="000000"/>
          <w:sz w:val="32"/>
          <w:szCs w:val="32"/>
        </w:rPr>
        <w:t>培养对象</w:t>
      </w:r>
    </w:p>
    <w:p>
      <w:pPr>
        <w:pStyle w:val="7"/>
        <w:widowControl w:val="0"/>
        <w:spacing w:before="0" w:beforeAutospacing="0" w:after="0" w:afterAutospacing="0" w:line="570" w:lineRule="exact"/>
        <w:ind w:firstLine="640"/>
        <w:jc w:val="both"/>
        <w:rPr>
          <w:rFonts w:hint="eastAsia" w:ascii="Times New Roman" w:hAnsi="Times New Roman" w:eastAsia="仿宋_GB2312"/>
          <w:color w:val="000000"/>
          <w:spacing w:val="-6"/>
          <w:sz w:val="32"/>
          <w:szCs w:val="32"/>
        </w:rPr>
      </w:pPr>
      <w:r>
        <w:rPr>
          <w:rFonts w:hint="eastAsia" w:ascii="Times New Roman" w:hAnsi="Times New Roman" w:eastAsia="仿宋_GB2312"/>
          <w:color w:val="000000"/>
          <w:spacing w:val="-6"/>
          <w:sz w:val="32"/>
          <w:szCs w:val="32"/>
        </w:rPr>
        <w:t>本人及父亲（母亲）或法定监护人的户籍具备当地连续3年以上农村户籍，符合我省统一高考报名条件，且在户籍所在市州已报名参加2</w:t>
      </w:r>
      <w:r>
        <w:rPr>
          <w:rFonts w:ascii="Times New Roman" w:hAnsi="Times New Roman" w:eastAsia="仿宋_GB2312"/>
          <w:color w:val="000000"/>
          <w:spacing w:val="-6"/>
          <w:sz w:val="32"/>
          <w:szCs w:val="32"/>
        </w:rPr>
        <w:t>022</w:t>
      </w:r>
      <w:r>
        <w:rPr>
          <w:rFonts w:hint="eastAsia" w:ascii="Times New Roman" w:hAnsi="Times New Roman" w:eastAsia="仿宋_GB2312"/>
          <w:color w:val="000000"/>
          <w:spacing w:val="-6"/>
          <w:sz w:val="32"/>
          <w:szCs w:val="32"/>
        </w:rPr>
        <w:t>年统一高考的，同时本人志愿从事基层医疗卫生机构（指乡镇卫生院、村卫生室）全科医疗岗位履约服务的考生。</w:t>
      </w:r>
    </w:p>
    <w:p>
      <w:pPr>
        <w:pStyle w:val="7"/>
        <w:widowControl w:val="0"/>
        <w:spacing w:before="0" w:beforeAutospacing="0" w:after="0" w:afterAutospacing="0" w:line="570" w:lineRule="exact"/>
        <w:ind w:firstLine="640"/>
        <w:jc w:val="both"/>
        <w:rPr>
          <w:rFonts w:ascii="黑体" w:hAnsi="黑体" w:eastAsia="黑体" w:cs="黑体"/>
          <w:color w:val="000000"/>
          <w:sz w:val="32"/>
          <w:szCs w:val="32"/>
        </w:rPr>
      </w:pPr>
      <w:r>
        <w:rPr>
          <w:rFonts w:hint="eastAsia" w:ascii="黑体" w:hAnsi="黑体" w:eastAsia="黑体" w:cs="黑体"/>
          <w:color w:val="000000"/>
          <w:sz w:val="32"/>
          <w:szCs w:val="32"/>
        </w:rPr>
        <w:t>三、培养流程</w:t>
      </w:r>
    </w:p>
    <w:p>
      <w:pPr>
        <w:spacing w:line="600" w:lineRule="exact"/>
        <w:ind w:firstLine="640"/>
        <w:rPr>
          <w:rFonts w:ascii="Times New Roman" w:hAnsi="Times New Roman" w:eastAsia="仿宋_GB2312"/>
          <w:color w:val="000000"/>
          <w:spacing w:val="-8"/>
          <w:sz w:val="32"/>
          <w:szCs w:val="32"/>
        </w:rPr>
      </w:pPr>
      <w:r>
        <w:rPr>
          <w:rFonts w:hint="eastAsia" w:ascii="方正楷体_GBK" w:hAnsi="Times New Roman" w:eastAsia="方正楷体_GBK"/>
          <w:color w:val="000000"/>
          <w:spacing w:val="-8"/>
          <w:sz w:val="32"/>
          <w:szCs w:val="32"/>
        </w:rPr>
        <w:t>（一）资格审查。</w:t>
      </w:r>
      <w:r>
        <w:rPr>
          <w:rFonts w:hint="eastAsia" w:ascii="Times New Roman" w:hAnsi="Times New Roman" w:eastAsia="仿宋_GB2312"/>
          <w:color w:val="000000"/>
          <w:spacing w:val="-8"/>
          <w:sz w:val="32"/>
          <w:szCs w:val="32"/>
        </w:rPr>
        <w:t>2</w:t>
      </w:r>
      <w:r>
        <w:rPr>
          <w:rFonts w:ascii="Times New Roman" w:hAnsi="Times New Roman" w:eastAsia="仿宋_GB2312"/>
          <w:color w:val="000000"/>
          <w:spacing w:val="-8"/>
          <w:sz w:val="32"/>
          <w:szCs w:val="32"/>
        </w:rPr>
        <w:t>022</w:t>
      </w:r>
      <w:r>
        <w:rPr>
          <w:rFonts w:hint="eastAsia" w:ascii="Times New Roman" w:hAnsi="Times New Roman" w:eastAsia="仿宋_GB2312"/>
          <w:color w:val="000000"/>
          <w:spacing w:val="-8"/>
          <w:sz w:val="32"/>
          <w:szCs w:val="32"/>
        </w:rPr>
        <w:t>年5月份，由符合申报条件的考生到户籍所在县（市、区）卫生健康行政部门报名，县（市、区）卫生健康主管部门负责审核报名考生申报资格，并逐级公示上报。5月底前，由省招办和省卫健委对上报审核结果进行公示。</w:t>
      </w:r>
    </w:p>
    <w:p>
      <w:pPr>
        <w:widowControl/>
        <w:jc w:val="center"/>
        <w:rPr>
          <w:rFonts w:hint="eastAsia" w:ascii="方正小标宋简体" w:hAnsi="宋体" w:eastAsia="方正小标宋简体" w:cs="宋体"/>
          <w:sz w:val="30"/>
          <w:szCs w:val="30"/>
        </w:rPr>
      </w:pPr>
      <w:bookmarkStart w:id="1" w:name="_Hlk102646479"/>
      <w:r>
        <w:rPr>
          <w:rFonts w:hint="eastAsia" w:ascii="方正小标宋简体" w:hAnsi="宋体" w:eastAsia="方正小标宋简体" w:cs="宋体"/>
          <w:sz w:val="30"/>
          <w:szCs w:val="30"/>
        </w:rPr>
        <w:t>2022年湖北省定向免费医学生高校招生条件</w:t>
      </w:r>
    </w:p>
    <w:bookmarkEnd w:id="1"/>
    <w:tbl>
      <w:tblPr>
        <w:tblStyle w:val="8"/>
        <w:tblW w:w="531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50"/>
        <w:gridCol w:w="2549"/>
        <w:gridCol w:w="2411"/>
        <w:gridCol w:w="26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jc w:val="center"/>
        </w:trPr>
        <w:tc>
          <w:tcPr>
            <w:tcW w:w="1025" w:type="pct"/>
            <w:noWrap w:val="0"/>
            <w:vAlign w:val="center"/>
          </w:tcPr>
          <w:p>
            <w:pPr>
              <w:widowControl/>
              <w:jc w:val="center"/>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招生高校</w:t>
            </w:r>
          </w:p>
        </w:tc>
        <w:tc>
          <w:tcPr>
            <w:tcW w:w="1340" w:type="pct"/>
            <w:noWrap w:val="0"/>
            <w:vAlign w:val="center"/>
          </w:tcPr>
          <w:p>
            <w:pPr>
              <w:widowControl/>
              <w:jc w:val="center"/>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湖北医药学院</w:t>
            </w:r>
          </w:p>
        </w:tc>
        <w:tc>
          <w:tcPr>
            <w:tcW w:w="1267" w:type="pct"/>
            <w:noWrap w:val="0"/>
            <w:vAlign w:val="center"/>
          </w:tcPr>
          <w:p>
            <w:pPr>
              <w:widowControl/>
              <w:jc w:val="center"/>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湖北科技学院</w:t>
            </w:r>
          </w:p>
        </w:tc>
        <w:tc>
          <w:tcPr>
            <w:tcW w:w="1368" w:type="pct"/>
            <w:noWrap w:val="0"/>
            <w:vAlign w:val="center"/>
          </w:tcPr>
          <w:p>
            <w:pPr>
              <w:widowControl/>
              <w:jc w:val="center"/>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湖北中医药大学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After w:w="0" w:type="dxa"/>
          <w:trHeight w:val="512" w:hRule="atLeast"/>
          <w:jc w:val="center"/>
        </w:trPr>
        <w:tc>
          <w:tcPr>
            <w:tcW w:w="1025" w:type="pct"/>
            <w:shd w:val="clear" w:color="auto" w:fill="FFFFFF"/>
            <w:noWrap w:val="0"/>
            <w:vAlign w:val="center"/>
          </w:tcPr>
          <w:p>
            <w:pPr>
              <w:widowControl/>
              <w:jc w:val="center"/>
              <w:rPr>
                <w:rFonts w:hint="eastAsia" w:ascii="黑体" w:hAnsi="黑体" w:eastAsia="黑体" w:cs="宋体"/>
                <w:b/>
                <w:bCs/>
                <w:kern w:val="0"/>
                <w:sz w:val="24"/>
                <w:szCs w:val="24"/>
              </w:rPr>
            </w:pPr>
            <w:r>
              <w:rPr>
                <w:rFonts w:hint="eastAsia" w:ascii="黑体" w:hAnsi="黑体" w:eastAsia="黑体" w:cs="宋体"/>
                <w:color w:val="000000"/>
                <w:kern w:val="0"/>
                <w:sz w:val="24"/>
                <w:szCs w:val="24"/>
              </w:rPr>
              <w:t>高校代码</w:t>
            </w:r>
          </w:p>
        </w:tc>
        <w:tc>
          <w:tcPr>
            <w:tcW w:w="1340" w:type="pct"/>
            <w:shd w:val="clear" w:color="auto" w:fill="FFFFFF"/>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C115</w:t>
            </w:r>
          </w:p>
        </w:tc>
        <w:tc>
          <w:tcPr>
            <w:tcW w:w="1267" w:type="pct"/>
            <w:shd w:val="clear" w:color="auto" w:fill="FFFFFF"/>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C116</w:t>
            </w:r>
          </w:p>
        </w:tc>
        <w:tc>
          <w:tcPr>
            <w:tcW w:w="1368" w:type="pct"/>
            <w:shd w:val="clear" w:color="auto" w:fill="FFFFFF"/>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C132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After w:w="0" w:type="dxa"/>
          <w:trHeight w:val="446" w:hRule="exact"/>
          <w:jc w:val="center"/>
        </w:trPr>
        <w:tc>
          <w:tcPr>
            <w:tcW w:w="1025" w:type="pct"/>
            <w:shd w:val="clear" w:color="auto" w:fill="FFFFFF"/>
            <w:noWrap/>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2022年招生规模</w:t>
            </w:r>
          </w:p>
        </w:tc>
        <w:tc>
          <w:tcPr>
            <w:tcW w:w="1340" w:type="pct"/>
            <w:shd w:val="clear" w:color="auto" w:fill="FFFFFF"/>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10</w:t>
            </w:r>
            <w:r>
              <w:rPr>
                <w:rFonts w:ascii="宋体" w:hAnsi="宋体" w:cs="宋体"/>
                <w:color w:val="000000"/>
                <w:kern w:val="0"/>
                <w:sz w:val="24"/>
                <w:szCs w:val="24"/>
              </w:rPr>
              <w:t>4</w:t>
            </w:r>
            <w:r>
              <w:rPr>
                <w:rFonts w:hint="eastAsia" w:ascii="宋体" w:hAnsi="宋体" w:cs="宋体"/>
                <w:color w:val="000000"/>
                <w:kern w:val="0"/>
                <w:sz w:val="24"/>
                <w:szCs w:val="24"/>
              </w:rPr>
              <w:t>人</w:t>
            </w:r>
          </w:p>
        </w:tc>
        <w:tc>
          <w:tcPr>
            <w:tcW w:w="1267" w:type="pct"/>
            <w:shd w:val="clear" w:color="auto" w:fill="FFFFFF"/>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10</w:t>
            </w:r>
            <w:r>
              <w:rPr>
                <w:rFonts w:ascii="宋体" w:hAnsi="宋体" w:cs="宋体"/>
                <w:color w:val="000000"/>
                <w:kern w:val="0"/>
                <w:sz w:val="24"/>
                <w:szCs w:val="24"/>
              </w:rPr>
              <w:t>3</w:t>
            </w:r>
            <w:r>
              <w:rPr>
                <w:rFonts w:hint="eastAsia" w:ascii="宋体" w:hAnsi="宋体" w:cs="宋体"/>
                <w:color w:val="000000"/>
                <w:kern w:val="0"/>
                <w:sz w:val="24"/>
                <w:szCs w:val="24"/>
              </w:rPr>
              <w:t>人</w:t>
            </w:r>
          </w:p>
        </w:tc>
        <w:tc>
          <w:tcPr>
            <w:tcW w:w="1368" w:type="pct"/>
            <w:shd w:val="clear" w:color="auto" w:fill="FFFFFF"/>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93人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After w:w="0" w:type="dxa"/>
          <w:trHeight w:val="440" w:hRule="exact"/>
          <w:jc w:val="center"/>
        </w:trPr>
        <w:tc>
          <w:tcPr>
            <w:tcW w:w="1025" w:type="pct"/>
            <w:shd w:val="clear" w:color="auto" w:fill="FFFFFF"/>
            <w:noWrap/>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首选科目</w:t>
            </w:r>
          </w:p>
        </w:tc>
        <w:tc>
          <w:tcPr>
            <w:tcW w:w="1340" w:type="pct"/>
            <w:shd w:val="clear" w:color="auto" w:fill="FFFFFF"/>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物理</w:t>
            </w:r>
          </w:p>
        </w:tc>
        <w:tc>
          <w:tcPr>
            <w:tcW w:w="1267" w:type="pct"/>
            <w:shd w:val="clear" w:color="auto" w:fill="FFFFFF"/>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物理</w:t>
            </w:r>
          </w:p>
        </w:tc>
        <w:tc>
          <w:tcPr>
            <w:tcW w:w="1368" w:type="pct"/>
            <w:shd w:val="clear" w:color="auto" w:fill="FFFFFF"/>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物理或历史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After w:w="0" w:type="dxa"/>
          <w:trHeight w:val="558" w:hRule="exact"/>
          <w:jc w:val="center"/>
        </w:trPr>
        <w:tc>
          <w:tcPr>
            <w:tcW w:w="1025" w:type="pct"/>
            <w:shd w:val="clear" w:color="auto" w:fill="FFFFFF"/>
            <w:noWrap/>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再选科目</w:t>
            </w:r>
          </w:p>
        </w:tc>
        <w:tc>
          <w:tcPr>
            <w:tcW w:w="1340" w:type="pct"/>
            <w:shd w:val="clear" w:color="auto" w:fill="FFFFFF"/>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化学或生物任选一门</w:t>
            </w:r>
          </w:p>
        </w:tc>
        <w:tc>
          <w:tcPr>
            <w:tcW w:w="1267" w:type="pct"/>
            <w:shd w:val="clear" w:color="auto" w:fill="FFFFFF"/>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化学或生物任选一门</w:t>
            </w:r>
          </w:p>
        </w:tc>
        <w:tc>
          <w:tcPr>
            <w:tcW w:w="1368" w:type="pct"/>
            <w:shd w:val="clear" w:color="auto" w:fill="FFFFFF"/>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化学或生物任选一门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After w:w="0" w:type="dxa"/>
          <w:trHeight w:val="1274" w:hRule="exact"/>
          <w:jc w:val="center"/>
        </w:trPr>
        <w:tc>
          <w:tcPr>
            <w:tcW w:w="1025" w:type="pct"/>
            <w:shd w:val="clear" w:color="auto" w:fill="FFFFFF"/>
            <w:noWrap/>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招生范围</w:t>
            </w:r>
          </w:p>
        </w:tc>
        <w:tc>
          <w:tcPr>
            <w:tcW w:w="1340" w:type="pct"/>
            <w:shd w:val="clear" w:color="auto" w:fill="FFFFFF"/>
            <w:noWrap/>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摸底公示名单中十堰、襄阳、恩施、宜昌、随州、荆门、仙桃、天门、神农架的考生</w:t>
            </w:r>
          </w:p>
        </w:tc>
        <w:tc>
          <w:tcPr>
            <w:tcW w:w="1267" w:type="pct"/>
            <w:shd w:val="clear" w:color="auto" w:fill="FFFFFF"/>
            <w:noWrap/>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摸底公示名单中黄石、荆州、黄冈、咸宁、武汉、孝感、潜江、鄂州的考生</w:t>
            </w:r>
          </w:p>
        </w:tc>
        <w:tc>
          <w:tcPr>
            <w:tcW w:w="1368" w:type="pct"/>
            <w:shd w:val="clear" w:color="auto" w:fill="FFFFFF"/>
            <w:noWrap/>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摸底公示名单中全省考生</w:t>
            </w:r>
          </w:p>
        </w:tc>
      </w:tr>
    </w:tbl>
    <w:p>
      <w:pPr>
        <w:spacing w:line="600" w:lineRule="exact"/>
        <w:ind w:firstLine="640"/>
        <w:rPr>
          <w:rFonts w:ascii="Times New Roman" w:hAnsi="Times New Roman" w:eastAsia="仿宋_GB2312"/>
          <w:color w:val="000000"/>
          <w:spacing w:val="-4"/>
          <w:sz w:val="32"/>
          <w:szCs w:val="32"/>
        </w:rPr>
      </w:pPr>
      <w:r>
        <w:rPr>
          <w:rFonts w:hint="eastAsia" w:ascii="方正楷体_GBK" w:hAnsi="Times New Roman" w:eastAsia="方正楷体_GBK"/>
          <w:color w:val="000000"/>
          <w:spacing w:val="-4"/>
          <w:sz w:val="32"/>
          <w:szCs w:val="32"/>
        </w:rPr>
        <w:t>（二）下达计划。</w:t>
      </w:r>
      <w:r>
        <w:rPr>
          <w:rFonts w:hint="eastAsia" w:ascii="Times New Roman" w:hAnsi="Times New Roman" w:eastAsia="仿宋_GB2312"/>
          <w:color w:val="000000"/>
          <w:spacing w:val="-4"/>
          <w:sz w:val="32"/>
          <w:szCs w:val="32"/>
        </w:rPr>
        <w:t>5月底前，省招办根据国家下达的订单定向培养计划和审核公示的拟申报定向医学生名单下达高校招生计划，实行以市州为单位，户籍地为依据，单列志愿、提前一批次录入。省招办根据具体市州的招录计划下达5年后各市州编制预留计划。</w:t>
      </w:r>
    </w:p>
    <w:p>
      <w:pPr>
        <w:spacing w:line="600" w:lineRule="exact"/>
        <w:ind w:firstLine="640"/>
        <w:rPr>
          <w:rFonts w:hint="eastAsia" w:ascii="方正楷体_GBK" w:hAnsi="Times New Roman" w:eastAsia="方正楷体_GBK"/>
          <w:color w:val="000000"/>
          <w:spacing w:val="-8"/>
          <w:sz w:val="32"/>
          <w:szCs w:val="32"/>
        </w:rPr>
      </w:pPr>
      <w:r>
        <w:rPr>
          <w:rFonts w:hint="eastAsia" w:ascii="方正楷体_GBK" w:hAnsi="Times New Roman" w:eastAsia="方正楷体_GBK"/>
          <w:color w:val="000000"/>
          <w:spacing w:val="-8"/>
          <w:sz w:val="32"/>
          <w:szCs w:val="32"/>
        </w:rPr>
        <w:t>（三）签订协议。2</w:t>
      </w:r>
      <w:r>
        <w:rPr>
          <w:rFonts w:ascii="方正楷体_GBK" w:hAnsi="Times New Roman" w:eastAsia="方正楷体_GBK"/>
          <w:color w:val="000000"/>
          <w:spacing w:val="-8"/>
          <w:sz w:val="32"/>
          <w:szCs w:val="32"/>
        </w:rPr>
        <w:t>022</w:t>
      </w:r>
      <w:r>
        <w:rPr>
          <w:rFonts w:hint="eastAsia" w:ascii="方正楷体_GBK" w:hAnsi="Times New Roman" w:eastAsia="方正楷体_GBK"/>
          <w:color w:val="000000"/>
          <w:spacing w:val="-8"/>
          <w:sz w:val="32"/>
          <w:szCs w:val="32"/>
        </w:rPr>
        <w:t>年</w:t>
      </w:r>
      <w:r>
        <w:rPr>
          <w:rFonts w:hint="eastAsia" w:ascii="Times New Roman" w:hAnsi="Times New Roman" w:eastAsia="仿宋_GB2312"/>
          <w:color w:val="000000"/>
          <w:spacing w:val="-8"/>
          <w:sz w:val="32"/>
          <w:szCs w:val="32"/>
        </w:rPr>
        <w:t>高考招录结束后，根据各高校（湖北科技学院、湖北医药学院、湖北中医药大学）实际招录结果，由市州卫生健康主管部门以市州为单位，按照户籍地原则统筹分配录取定向医学生到定向县，录取定向医学生须与定向就业所在地的县级卫生健康行政部门、人力资源社会保障部门签定《农村订单定向医学生免费培养定向就业协议书》，享有相关权利和义务。</w:t>
      </w:r>
    </w:p>
    <w:p>
      <w:pPr>
        <w:spacing w:line="600" w:lineRule="exact"/>
        <w:ind w:firstLine="640"/>
        <w:rPr>
          <w:rFonts w:hint="eastAsia" w:ascii="方正楷体_GBK" w:hAnsi="Times New Roman" w:eastAsia="方正楷体_GBK"/>
          <w:color w:val="000000"/>
          <w:spacing w:val="-4"/>
          <w:sz w:val="32"/>
          <w:szCs w:val="32"/>
        </w:rPr>
      </w:pPr>
      <w:r>
        <w:rPr>
          <w:rFonts w:hint="eastAsia" w:ascii="方正楷体_GBK" w:hAnsi="Times New Roman" w:eastAsia="方正楷体_GBK"/>
          <w:color w:val="000000"/>
          <w:spacing w:val="-4"/>
          <w:sz w:val="32"/>
          <w:szCs w:val="32"/>
        </w:rPr>
        <w:t>（四）报到注册。</w:t>
      </w:r>
      <w:r>
        <w:rPr>
          <w:rFonts w:hint="eastAsia" w:ascii="Times New Roman" w:hAnsi="Times New Roman" w:eastAsia="仿宋_GB2312"/>
          <w:color w:val="000000"/>
          <w:spacing w:val="-4"/>
          <w:sz w:val="32"/>
          <w:szCs w:val="32"/>
        </w:rPr>
        <w:t>定向免费医学生须持高校录取通知书及定向就业协议书按规定时间到校完成报到注册。对于未签订定向就业协议书的学生，高校不予注册。考生被录取后无生病等特殊原因或不可抗力等双方约定或其他合法解约事由，进校后不能转专业。考生如改变定向意向未按时报到入学的，视为放弃入学资格。</w:t>
      </w:r>
    </w:p>
    <w:p>
      <w:pPr>
        <w:spacing w:line="600" w:lineRule="exact"/>
        <w:ind w:firstLine="640"/>
        <w:rPr>
          <w:rFonts w:ascii="Times New Roman" w:hAnsi="Times New Roman" w:eastAsia="仿宋_GB2312" w:cs="Times New Roman"/>
          <w:sz w:val="32"/>
          <w:szCs w:val="32"/>
        </w:rPr>
      </w:pPr>
      <w:r>
        <w:rPr>
          <w:rFonts w:hint="eastAsia" w:ascii="方正楷体_GBK" w:hAnsi="Times New Roman" w:eastAsia="方正楷体_GBK"/>
          <w:color w:val="000000"/>
          <w:spacing w:val="-4"/>
          <w:sz w:val="32"/>
          <w:szCs w:val="32"/>
        </w:rPr>
        <w:t>（五）</w:t>
      </w:r>
      <w:r>
        <w:rPr>
          <w:rFonts w:ascii="方正楷体_GBK" w:hAnsi="Times New Roman" w:eastAsia="方正楷体_GBK"/>
          <w:color w:val="000000"/>
          <w:spacing w:val="-4"/>
          <w:sz w:val="32"/>
          <w:szCs w:val="32"/>
        </w:rPr>
        <w:t>入学</w:t>
      </w:r>
      <w:r>
        <w:rPr>
          <w:rFonts w:hint="eastAsia" w:ascii="方正楷体_GBK" w:hAnsi="Times New Roman" w:eastAsia="方正楷体_GBK"/>
          <w:color w:val="000000"/>
          <w:spacing w:val="-4"/>
          <w:sz w:val="32"/>
          <w:szCs w:val="32"/>
        </w:rPr>
        <w:t>培养</w:t>
      </w:r>
      <w:r>
        <w:rPr>
          <w:rFonts w:ascii="方正楷体_GBK" w:hAnsi="Times New Roman" w:eastAsia="方正楷体_GBK"/>
          <w:color w:val="000000"/>
          <w:spacing w:val="-4"/>
          <w:sz w:val="32"/>
          <w:szCs w:val="32"/>
        </w:rPr>
        <w:t>。</w:t>
      </w:r>
      <w:r>
        <w:rPr>
          <w:rFonts w:hint="eastAsia" w:ascii="Times New Roman" w:hAnsi="Times New Roman" w:eastAsia="仿宋_GB2312" w:cs="Times New Roman"/>
          <w:sz w:val="32"/>
          <w:szCs w:val="32"/>
        </w:rPr>
        <w:t>定向免费医学生注册后，</w:t>
      </w:r>
      <w:r>
        <w:rPr>
          <w:rFonts w:ascii="Times New Roman" w:hAnsi="Times New Roman" w:eastAsia="仿宋_GB2312" w:cs="Times New Roman"/>
          <w:sz w:val="32"/>
          <w:szCs w:val="32"/>
        </w:rPr>
        <w:t>在校学习期间</w:t>
      </w:r>
      <w:r>
        <w:rPr>
          <w:rFonts w:hint="eastAsia" w:ascii="Times New Roman" w:hAnsi="Times New Roman" w:eastAsia="仿宋_GB2312" w:cs="Times New Roman"/>
          <w:sz w:val="32"/>
          <w:szCs w:val="32"/>
        </w:rPr>
        <w:t>享受“二免一补”（本科生在校学习期间免除学费5200 元／年·生，免缴住宿费800 元／年·生，并补助生活费4000 元／年·生）政策，高校教育</w:t>
      </w:r>
      <w:r>
        <w:rPr>
          <w:rFonts w:ascii="Times New Roman" w:hAnsi="Times New Roman" w:eastAsia="仿宋_GB2312" w:cs="Times New Roman"/>
          <w:sz w:val="32"/>
          <w:szCs w:val="32"/>
        </w:rPr>
        <w:t>学制5年。</w:t>
      </w:r>
    </w:p>
    <w:p>
      <w:pPr>
        <w:spacing w:line="600" w:lineRule="exact"/>
        <w:ind w:firstLine="640"/>
        <w:rPr>
          <w:rFonts w:hint="eastAsia" w:ascii="Times New Roman" w:hAnsi="Times New Roman" w:eastAsia="仿宋_GB2312" w:cs="Times New Roman"/>
          <w:sz w:val="32"/>
          <w:szCs w:val="32"/>
        </w:rPr>
      </w:pPr>
      <w:r>
        <w:rPr>
          <w:rFonts w:hint="eastAsia" w:ascii="方正楷体_GBK" w:hAnsi="Times New Roman" w:eastAsia="方正楷体_GBK"/>
          <w:color w:val="000000"/>
          <w:spacing w:val="-4"/>
          <w:sz w:val="32"/>
          <w:szCs w:val="32"/>
        </w:rPr>
        <w:t>（六）</w:t>
      </w:r>
      <w:r>
        <w:rPr>
          <w:rFonts w:ascii="方正楷体_GBK" w:hAnsi="Times New Roman" w:eastAsia="方正楷体_GBK"/>
          <w:color w:val="000000"/>
          <w:spacing w:val="-4"/>
          <w:sz w:val="32"/>
          <w:szCs w:val="32"/>
        </w:rPr>
        <w:t>就业</w:t>
      </w:r>
      <w:r>
        <w:rPr>
          <w:rFonts w:hint="eastAsia" w:ascii="方正楷体_GBK" w:hAnsi="Times New Roman" w:eastAsia="方正楷体_GBK"/>
          <w:color w:val="000000"/>
          <w:spacing w:val="-4"/>
          <w:sz w:val="32"/>
          <w:szCs w:val="32"/>
        </w:rPr>
        <w:t>安置</w:t>
      </w:r>
      <w:r>
        <w:rPr>
          <w:rFonts w:ascii="方正楷体_GBK" w:hAnsi="Times New Roman" w:eastAsia="方正楷体_GBK"/>
          <w:color w:val="000000"/>
          <w:spacing w:val="-4"/>
          <w:sz w:val="32"/>
          <w:szCs w:val="32"/>
        </w:rPr>
        <w:t>。</w:t>
      </w:r>
      <w:r>
        <w:rPr>
          <w:rFonts w:ascii="Times New Roman" w:hAnsi="Times New Roman" w:eastAsia="仿宋_GB2312" w:cs="Times New Roman"/>
          <w:sz w:val="32"/>
          <w:szCs w:val="32"/>
        </w:rPr>
        <w:t>毕业后按照入学前签署的定向就业协议，到</w:t>
      </w:r>
      <w:r>
        <w:rPr>
          <w:rFonts w:hint="eastAsia" w:ascii="Times New Roman" w:hAnsi="Times New Roman" w:eastAsia="仿宋_GB2312" w:cs="Times New Roman"/>
          <w:sz w:val="32"/>
          <w:szCs w:val="32"/>
        </w:rPr>
        <w:t>定向</w:t>
      </w:r>
      <w:r>
        <w:rPr>
          <w:rFonts w:ascii="Times New Roman" w:hAnsi="Times New Roman" w:eastAsia="仿宋_GB2312" w:cs="Times New Roman"/>
          <w:sz w:val="32"/>
          <w:szCs w:val="32"/>
        </w:rPr>
        <w:t>所在地县级卫生行政部门报到，</w:t>
      </w:r>
      <w:r>
        <w:rPr>
          <w:rFonts w:hint="eastAsia" w:ascii="Times New Roman" w:hAnsi="Times New Roman" w:eastAsia="仿宋_GB2312" w:cs="Times New Roman"/>
          <w:sz w:val="32"/>
          <w:szCs w:val="32"/>
        </w:rPr>
        <w:t>由定向县卫生健康行政部门分配基层医疗卫生机构，落实相关编制和劳动待遇。上岗后，需参加3年全科住院医师规范化培训，培训结业后到分配基层医疗卫生机构全科岗位履约3年，有条件的地区可实行“县管乡用”（县级医疗卫生机构聘用管理、乡镇卫生院使用）</w:t>
      </w:r>
      <w:r>
        <w:rPr>
          <w:rFonts w:ascii="Times New Roman" w:hAnsi="Times New Roman" w:eastAsia="仿宋_GB2312" w:cs="Times New Roman"/>
          <w:sz w:val="32"/>
          <w:szCs w:val="32"/>
        </w:rPr>
        <w:t>。</w:t>
      </w:r>
    </w:p>
    <w:p>
      <w:pPr>
        <w:pStyle w:val="7"/>
        <w:widowControl w:val="0"/>
        <w:spacing w:before="0" w:beforeAutospacing="0" w:after="0" w:afterAutospacing="0" w:line="570" w:lineRule="exact"/>
        <w:ind w:firstLine="640"/>
        <w:jc w:val="both"/>
        <w:rPr>
          <w:rFonts w:ascii="黑体" w:hAnsi="黑体" w:eastAsia="黑体" w:cs="黑体"/>
          <w:color w:val="000000"/>
          <w:sz w:val="32"/>
          <w:szCs w:val="32"/>
        </w:rPr>
      </w:pPr>
      <w:r>
        <w:rPr>
          <w:rFonts w:hint="eastAsia" w:ascii="黑体" w:hAnsi="黑体" w:eastAsia="黑体" w:cs="黑体"/>
          <w:color w:val="000000"/>
          <w:sz w:val="32"/>
          <w:szCs w:val="32"/>
        </w:rPr>
        <w:t>四、违约及惩处</w:t>
      </w:r>
    </w:p>
    <w:p>
      <w:pPr>
        <w:pStyle w:val="7"/>
        <w:widowControl w:val="0"/>
        <w:spacing w:before="0" w:beforeAutospacing="0" w:after="0" w:afterAutospacing="0" w:line="570" w:lineRule="exact"/>
        <w:ind w:firstLine="640"/>
        <w:jc w:val="both"/>
        <w:rPr>
          <w:rFonts w:ascii="黑体" w:hAnsi="黑体" w:eastAsia="黑体" w:cs="黑体"/>
          <w:color w:val="000000"/>
          <w:sz w:val="32"/>
          <w:szCs w:val="32"/>
        </w:rPr>
      </w:pPr>
      <w:r>
        <w:rPr>
          <w:rFonts w:hint="eastAsia" w:ascii="Times New Roman" w:hAnsi="Times New Roman" w:eastAsia="仿宋_GB2312" w:cs="Times New Roman"/>
          <w:kern w:val="2"/>
          <w:sz w:val="32"/>
          <w:szCs w:val="32"/>
        </w:rPr>
        <w:t>定向医学生违约情况应包括但不限于以下情况：</w:t>
      </w:r>
    </w:p>
    <w:p>
      <w:pPr>
        <w:pStyle w:val="7"/>
        <w:widowControl w:val="0"/>
        <w:spacing w:before="0" w:beforeAutospacing="0" w:after="0" w:afterAutospacing="0" w:line="570" w:lineRule="exact"/>
        <w:ind w:firstLine="640"/>
        <w:jc w:val="both"/>
        <w:rPr>
          <w:rFonts w:ascii="黑体" w:hAnsi="黑体" w:eastAsia="黑体" w:cs="黑体"/>
          <w:color w:val="000000"/>
          <w:spacing w:val="-16"/>
          <w:sz w:val="32"/>
          <w:szCs w:val="32"/>
        </w:rPr>
      </w:pPr>
      <w:r>
        <w:rPr>
          <w:rFonts w:hint="eastAsia" w:ascii="Times New Roman" w:hAnsi="Times New Roman" w:eastAsia="仿宋_GB2312" w:cs="Times New Roman"/>
          <w:spacing w:val="-16"/>
          <w:kern w:val="2"/>
          <w:sz w:val="32"/>
          <w:szCs w:val="32"/>
        </w:rPr>
        <w:t>1.除签订的就业协议书中规定的不可抗力因素外，自行放弃学籍；</w:t>
      </w:r>
    </w:p>
    <w:p>
      <w:pPr>
        <w:pStyle w:val="7"/>
        <w:widowControl w:val="0"/>
        <w:spacing w:before="0" w:beforeAutospacing="0" w:after="0" w:afterAutospacing="0" w:line="570" w:lineRule="exact"/>
        <w:ind w:firstLine="640"/>
        <w:jc w:val="both"/>
        <w:rPr>
          <w:rFonts w:ascii="黑体" w:hAnsi="黑体" w:eastAsia="黑体" w:cs="黑体"/>
          <w:color w:val="000000"/>
          <w:sz w:val="32"/>
          <w:szCs w:val="32"/>
        </w:rPr>
      </w:pPr>
      <w:r>
        <w:rPr>
          <w:rFonts w:hint="eastAsia" w:ascii="Times New Roman" w:hAnsi="Times New Roman" w:eastAsia="仿宋_GB2312" w:cs="Times New Roman"/>
          <w:kern w:val="2"/>
          <w:sz w:val="32"/>
          <w:szCs w:val="32"/>
        </w:rPr>
        <w:t>2.院校培养期间或服务期内，本科报考脱产研究生，高职（专科）报考专接本，或者未征得定向服务县（市、区）卫生健康行政部门同意报考在职研究生；</w:t>
      </w:r>
    </w:p>
    <w:p>
      <w:pPr>
        <w:pStyle w:val="7"/>
        <w:widowControl w:val="0"/>
        <w:spacing w:before="0" w:beforeAutospacing="0" w:after="0" w:afterAutospacing="0" w:line="570" w:lineRule="exact"/>
        <w:ind w:firstLine="640"/>
        <w:jc w:val="both"/>
        <w:rPr>
          <w:rFonts w:ascii="黑体" w:hAnsi="黑体" w:eastAsia="黑体" w:cs="黑体"/>
          <w:color w:val="000000"/>
          <w:sz w:val="32"/>
          <w:szCs w:val="32"/>
        </w:rPr>
      </w:pPr>
      <w:r>
        <w:rPr>
          <w:rFonts w:hint="eastAsia" w:ascii="Times New Roman" w:hAnsi="Times New Roman" w:eastAsia="仿宋_GB2312" w:cs="Times New Roman"/>
          <w:kern w:val="2"/>
          <w:sz w:val="32"/>
          <w:szCs w:val="32"/>
        </w:rPr>
        <w:t>3.在校期间违反培养学校学籍管理规定予以退学处理或开除学籍处分，或违反国家法律受到刑事处罚；</w:t>
      </w:r>
    </w:p>
    <w:p>
      <w:pPr>
        <w:pStyle w:val="7"/>
        <w:widowControl w:val="0"/>
        <w:spacing w:before="0" w:beforeAutospacing="0" w:after="0" w:afterAutospacing="0" w:line="570" w:lineRule="exact"/>
        <w:ind w:firstLine="64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4.未按规定参加住院医师规范化培训或助理全科医生培训；</w:t>
      </w:r>
    </w:p>
    <w:p>
      <w:pPr>
        <w:pStyle w:val="7"/>
        <w:widowControl w:val="0"/>
        <w:spacing w:before="0" w:beforeAutospacing="0" w:after="0" w:afterAutospacing="0" w:line="570" w:lineRule="exact"/>
        <w:ind w:firstLine="640"/>
        <w:jc w:val="both"/>
        <w:rPr>
          <w:rFonts w:ascii="黑体" w:hAnsi="黑体" w:eastAsia="黑体" w:cs="黑体"/>
          <w:color w:val="000000"/>
          <w:sz w:val="32"/>
          <w:szCs w:val="32"/>
        </w:rPr>
      </w:pPr>
      <w:r>
        <w:rPr>
          <w:rFonts w:hint="eastAsia" w:ascii="Times New Roman" w:hAnsi="Times New Roman" w:eastAsia="仿宋_GB2312" w:cs="Times New Roman"/>
          <w:kern w:val="2"/>
          <w:sz w:val="32"/>
          <w:szCs w:val="32"/>
        </w:rPr>
        <w:t>5.未经培训基地和定向地县（市、区）卫生健康行政部门同意自行放弃培训，或拒绝履行签订的培养协议中规定义务；</w:t>
      </w:r>
    </w:p>
    <w:p>
      <w:pPr>
        <w:pStyle w:val="7"/>
        <w:widowControl w:val="0"/>
        <w:spacing w:before="0" w:beforeAutospacing="0" w:after="0" w:afterAutospacing="0" w:line="570" w:lineRule="exact"/>
        <w:ind w:firstLine="640"/>
        <w:jc w:val="both"/>
        <w:rPr>
          <w:rFonts w:ascii="黑体" w:hAnsi="黑体" w:eastAsia="黑体" w:cs="黑体"/>
          <w:color w:val="000000"/>
          <w:sz w:val="32"/>
          <w:szCs w:val="32"/>
        </w:rPr>
      </w:pPr>
      <w:r>
        <w:rPr>
          <w:rFonts w:hint="eastAsia" w:ascii="Times New Roman" w:hAnsi="Times New Roman" w:eastAsia="仿宋_GB2312" w:cs="Times New Roman"/>
          <w:kern w:val="2"/>
          <w:sz w:val="32"/>
          <w:szCs w:val="32"/>
        </w:rPr>
        <w:t>6.培训期间违反培训基地管理规定被取消培训资格的或违反国家法律受到刑事处罚；</w:t>
      </w:r>
    </w:p>
    <w:p>
      <w:pPr>
        <w:pStyle w:val="7"/>
        <w:widowControl w:val="0"/>
        <w:spacing w:before="0" w:beforeAutospacing="0" w:after="0" w:afterAutospacing="0" w:line="570" w:lineRule="exact"/>
        <w:ind w:firstLine="640"/>
        <w:jc w:val="both"/>
        <w:rPr>
          <w:rFonts w:ascii="黑体" w:hAnsi="黑体" w:eastAsia="黑体" w:cs="黑体"/>
          <w:color w:val="000000"/>
          <w:sz w:val="32"/>
          <w:szCs w:val="32"/>
        </w:rPr>
      </w:pPr>
      <w:r>
        <w:rPr>
          <w:rFonts w:hint="eastAsia" w:ascii="Times New Roman" w:hAnsi="Times New Roman" w:eastAsia="仿宋_GB2312" w:cs="Times New Roman"/>
          <w:kern w:val="2"/>
          <w:sz w:val="32"/>
          <w:szCs w:val="32"/>
        </w:rPr>
        <w:t>7.在国家和省级规定的最长时间内仍未取得住院医师规范化培训或助理全科医生培训结业证书；</w:t>
      </w:r>
    </w:p>
    <w:p>
      <w:pPr>
        <w:pStyle w:val="7"/>
        <w:widowControl w:val="0"/>
        <w:spacing w:before="0" w:beforeAutospacing="0" w:after="0" w:afterAutospacing="0" w:line="570" w:lineRule="exact"/>
        <w:ind w:firstLine="640"/>
        <w:jc w:val="both"/>
        <w:rPr>
          <w:rFonts w:ascii="黑体" w:hAnsi="黑体" w:eastAsia="黑体" w:cs="黑体"/>
          <w:color w:val="000000"/>
          <w:sz w:val="32"/>
          <w:szCs w:val="32"/>
        </w:rPr>
      </w:pPr>
      <w:r>
        <w:rPr>
          <w:rFonts w:hint="eastAsia" w:ascii="Times New Roman" w:hAnsi="Times New Roman" w:eastAsia="仿宋_GB2312" w:cs="Times New Roman"/>
          <w:kern w:val="2"/>
          <w:sz w:val="32"/>
          <w:szCs w:val="32"/>
        </w:rPr>
        <w:t>8.在学校毕业后和规范化培训结束后未按规定到定向服务就业部门或单位报到，超过 10 个工作日未履行请假手续；</w:t>
      </w:r>
    </w:p>
    <w:p>
      <w:pPr>
        <w:pStyle w:val="7"/>
        <w:widowControl w:val="0"/>
        <w:spacing w:before="0" w:beforeAutospacing="0" w:after="0" w:afterAutospacing="0" w:line="570" w:lineRule="exact"/>
        <w:ind w:firstLine="640"/>
        <w:jc w:val="both"/>
        <w:rPr>
          <w:rFonts w:ascii="Times New Roman" w:hAnsi="Times New Roman" w:eastAsia="仿宋_GB2312" w:cs="Times New Roman"/>
          <w:spacing w:val="-20"/>
          <w:kern w:val="2"/>
          <w:sz w:val="32"/>
          <w:szCs w:val="32"/>
        </w:rPr>
      </w:pPr>
      <w:r>
        <w:rPr>
          <w:rFonts w:hint="eastAsia" w:ascii="Times New Roman" w:hAnsi="Times New Roman" w:eastAsia="仿宋_GB2312" w:cs="Times New Roman"/>
          <w:spacing w:val="-20"/>
          <w:kern w:val="2"/>
          <w:sz w:val="32"/>
          <w:szCs w:val="32"/>
        </w:rPr>
        <w:t>9.未经定向地县（市、区）卫生健康行政部门批准擅自离职、离岗；</w:t>
      </w:r>
    </w:p>
    <w:p>
      <w:pPr>
        <w:pStyle w:val="7"/>
        <w:widowControl w:val="0"/>
        <w:spacing w:before="0" w:beforeAutospacing="0" w:after="0" w:afterAutospacing="0" w:line="570" w:lineRule="exact"/>
        <w:ind w:firstLine="640"/>
        <w:jc w:val="both"/>
        <w:rPr>
          <w:rFonts w:ascii="黑体" w:hAnsi="黑体" w:eastAsia="黑体" w:cs="黑体"/>
          <w:color w:val="000000"/>
          <w:sz w:val="32"/>
          <w:szCs w:val="32"/>
        </w:rPr>
      </w:pPr>
      <w:r>
        <w:rPr>
          <w:rFonts w:hint="eastAsia" w:ascii="Times New Roman" w:hAnsi="Times New Roman" w:eastAsia="仿宋_GB2312" w:cs="Times New Roman"/>
          <w:kern w:val="2"/>
          <w:sz w:val="32"/>
          <w:szCs w:val="32"/>
        </w:rPr>
        <w:t>10.未经定向地县（市、区）卫生健康行政部门同意，服务期内变更执业地点或改变服务单位；</w:t>
      </w:r>
    </w:p>
    <w:p>
      <w:pPr>
        <w:pStyle w:val="7"/>
        <w:widowControl w:val="0"/>
        <w:spacing w:before="0" w:beforeAutospacing="0" w:after="0" w:afterAutospacing="0" w:line="570" w:lineRule="exact"/>
        <w:ind w:firstLine="640"/>
        <w:jc w:val="both"/>
        <w:rPr>
          <w:rFonts w:ascii="黑体" w:hAnsi="黑体" w:eastAsia="黑体" w:cs="黑体"/>
          <w:color w:val="000000"/>
          <w:sz w:val="32"/>
          <w:szCs w:val="32"/>
        </w:rPr>
      </w:pPr>
      <w:r>
        <w:rPr>
          <w:rFonts w:hint="eastAsia" w:ascii="Times New Roman" w:hAnsi="Times New Roman" w:eastAsia="仿宋_GB2312" w:cs="Times New Roman"/>
          <w:kern w:val="2"/>
          <w:sz w:val="32"/>
          <w:szCs w:val="32"/>
        </w:rPr>
        <w:t>11.服务期内，被服务单位依法依规解聘；</w:t>
      </w:r>
    </w:p>
    <w:p>
      <w:pPr>
        <w:pStyle w:val="7"/>
        <w:widowControl w:val="0"/>
        <w:spacing w:before="0" w:beforeAutospacing="0" w:after="0" w:afterAutospacing="0" w:line="570" w:lineRule="exact"/>
        <w:ind w:firstLine="640"/>
        <w:jc w:val="both"/>
        <w:rPr>
          <w:rFonts w:hint="eastAsia" w:ascii="黑体" w:hAnsi="黑体" w:eastAsia="黑体" w:cs="黑体"/>
          <w:color w:val="000000"/>
          <w:sz w:val="32"/>
          <w:szCs w:val="32"/>
        </w:rPr>
      </w:pPr>
      <w:r>
        <w:rPr>
          <w:rFonts w:hint="eastAsia" w:ascii="Times New Roman" w:hAnsi="Times New Roman" w:eastAsia="仿宋_GB2312" w:cs="Times New Roman"/>
          <w:kern w:val="2"/>
          <w:sz w:val="32"/>
          <w:szCs w:val="32"/>
        </w:rPr>
        <w:t>12.达成解约意向后，未按时退还教育、培养费用及违约金；</w:t>
      </w:r>
    </w:p>
    <w:p>
      <w:pPr>
        <w:pStyle w:val="7"/>
        <w:widowControl w:val="0"/>
        <w:spacing w:before="0" w:beforeAutospacing="0" w:after="0" w:afterAutospacing="0" w:line="570" w:lineRule="exact"/>
        <w:ind w:firstLine="64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13.就业协议书、聘用合同或补充协议中约定的其它可视为违约的行为。</w:t>
      </w:r>
    </w:p>
    <w:p>
      <w:pPr>
        <w:pStyle w:val="7"/>
        <w:widowControl w:val="0"/>
        <w:spacing w:before="0" w:beforeAutospacing="0" w:after="0" w:afterAutospacing="0" w:line="570" w:lineRule="exact"/>
        <w:ind w:firstLine="64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农村订单定向医学生履约管理和相关违约处罚参照《关于加强和规范湖北省农村订单定向免费医学生履约过程管理的通知》（鄂卫通〔2021〕10号）要求实施。</w:t>
      </w:r>
    </w:p>
    <w:p>
      <w:pPr>
        <w:pStyle w:val="7"/>
        <w:widowControl w:val="0"/>
        <w:spacing w:before="0" w:beforeAutospacing="0" w:after="0" w:afterAutospacing="0" w:line="570" w:lineRule="exact"/>
        <w:ind w:firstLine="640"/>
        <w:jc w:val="both"/>
        <w:rPr>
          <w:rFonts w:hint="eastAsia" w:ascii="Times New Roman" w:hAnsi="Times New Roman" w:eastAsia="仿宋_GB2312"/>
          <w:color w:val="000000"/>
          <w:sz w:val="32"/>
          <w:szCs w:val="32"/>
        </w:rPr>
      </w:pPr>
    </w:p>
    <w:p>
      <w:pPr>
        <w:pStyle w:val="7"/>
        <w:widowControl w:val="0"/>
        <w:spacing w:before="0" w:beforeAutospacing="0" w:after="0" w:afterAutospacing="0" w:line="570" w:lineRule="exact"/>
        <w:ind w:firstLine="640"/>
        <w:jc w:val="both"/>
        <w:rPr>
          <w:rFonts w:ascii="Times New Roman" w:hAnsi="Times New Roman" w:eastAsia="仿宋_GB2312"/>
          <w:color w:val="000000"/>
          <w:sz w:val="32"/>
          <w:szCs w:val="32"/>
        </w:rPr>
      </w:pPr>
    </w:p>
    <w:p>
      <w:pPr>
        <w:pStyle w:val="7"/>
        <w:widowControl w:val="0"/>
        <w:spacing w:before="0" w:beforeAutospacing="0" w:after="0" w:afterAutospacing="0" w:line="570" w:lineRule="exact"/>
        <w:ind w:firstLine="640"/>
        <w:jc w:val="both"/>
        <w:rPr>
          <w:rFonts w:ascii="Times New Roman" w:hAnsi="Times New Roman" w:eastAsia="仿宋_GB2312"/>
          <w:color w:val="000000"/>
          <w:sz w:val="32"/>
          <w:szCs w:val="32"/>
        </w:rPr>
      </w:pPr>
    </w:p>
    <w:p>
      <w:pPr>
        <w:pStyle w:val="7"/>
        <w:widowControl w:val="0"/>
        <w:spacing w:before="0" w:beforeAutospacing="0" w:after="0" w:afterAutospacing="0" w:line="570" w:lineRule="exact"/>
        <w:ind w:firstLine="640"/>
        <w:jc w:val="both"/>
        <w:rPr>
          <w:rFonts w:ascii="Times New Roman" w:hAnsi="Times New Roman" w:eastAsia="仿宋_GB2312"/>
          <w:color w:val="000000"/>
          <w:sz w:val="32"/>
          <w:szCs w:val="32"/>
        </w:rPr>
      </w:pPr>
    </w:p>
    <w:p>
      <w:pPr>
        <w:pStyle w:val="7"/>
        <w:widowControl w:val="0"/>
        <w:spacing w:before="0" w:beforeAutospacing="0" w:after="0" w:afterAutospacing="0" w:line="570" w:lineRule="exact"/>
        <w:ind w:firstLine="640"/>
        <w:jc w:val="both"/>
        <w:rPr>
          <w:rFonts w:hint="eastAsia" w:ascii="Times New Roman" w:hAnsi="Times New Roman" w:eastAsia="仿宋_GB2312"/>
          <w:color w:val="000000"/>
          <w:sz w:val="32"/>
          <w:szCs w:val="32"/>
        </w:rPr>
      </w:pPr>
    </w:p>
    <w:sectPr>
      <w:footerReference r:id="rId3" w:type="default"/>
      <w:pgSz w:w="11907" w:h="16840"/>
      <w:pgMar w:top="1191" w:right="1587" w:bottom="1191" w:left="1587"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_GBK">
    <w:altName w:val="宋体"/>
    <w:panose1 w:val="03000509000000000000"/>
    <w:charset w:val="86"/>
    <w:family w:val="script"/>
    <w:pitch w:val="default"/>
    <w:sig w:usb0="00000001" w:usb1="080E0000" w:usb2="00000010" w:usb3="00000000" w:csb0="00040000" w:csb1="00000000"/>
  </w:font>
  <w:font w:name="方正楷体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Fonts w:ascii="Times New Roman" w:hAnsi="Times New Roman" w:cs="Times New Roman"/>
        <w:sz w:val="28"/>
        <w:szCs w:val="28"/>
      </w:rPr>
    </w:pPr>
    <w:r>
      <w:rPr>
        <w:rStyle w:val="11"/>
        <w:rFonts w:ascii="Times New Roman" w:hAnsi="Times New Roman" w:cs="Times New Roman"/>
        <w:sz w:val="28"/>
        <w:szCs w:val="28"/>
      </w:rPr>
      <w:t>—</w:t>
    </w:r>
    <w:r>
      <w:rPr>
        <w:rStyle w:val="11"/>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w:instrText>
    </w:r>
    <w:r>
      <w:rPr>
        <w:rFonts w:ascii="Times New Roman" w:hAnsi="Times New Roman" w:cs="Times New Roman"/>
        <w:sz w:val="28"/>
        <w:szCs w:val="28"/>
      </w:rPr>
      <w:fldChar w:fldCharType="separate"/>
    </w:r>
    <w:r>
      <w:rPr>
        <w:rStyle w:val="11"/>
        <w:rFonts w:ascii="Times New Roman" w:hAnsi="Times New Roman" w:cs="Times New Roman"/>
        <w:sz w:val="28"/>
        <w:szCs w:val="28"/>
        <w:lang/>
      </w:rPr>
      <w:t>4</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Style w:val="11"/>
        <w:rFonts w:ascii="Times New Roman" w:hAnsi="Times New Roman" w:cs="Times New Roman"/>
        <w:sz w:val="28"/>
        <w:szCs w:val="28"/>
      </w:rPr>
      <w:t>—</w:t>
    </w:r>
  </w:p>
  <w:p>
    <w:pPr>
      <w:pStyle w:val="5"/>
      <w:ind w:right="360" w:firstLine="360"/>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OGE2Y2Y2MzEzODNlNWUzYjEwNWI0NGIwM2NkMTMifQ=="/>
  </w:docVars>
  <w:rsids>
    <w:rsidRoot w:val="001F313D"/>
    <w:rsid w:val="000024F9"/>
    <w:rsid w:val="000060AE"/>
    <w:rsid w:val="000069E3"/>
    <w:rsid w:val="0001366E"/>
    <w:rsid w:val="00013FA2"/>
    <w:rsid w:val="00022439"/>
    <w:rsid w:val="000307A6"/>
    <w:rsid w:val="00033A33"/>
    <w:rsid w:val="00033D27"/>
    <w:rsid w:val="000354AB"/>
    <w:rsid w:val="00035CBF"/>
    <w:rsid w:val="0004244D"/>
    <w:rsid w:val="0004449A"/>
    <w:rsid w:val="00046D39"/>
    <w:rsid w:val="000B6FA5"/>
    <w:rsid w:val="000C7160"/>
    <w:rsid w:val="000E2DA6"/>
    <w:rsid w:val="000E41FD"/>
    <w:rsid w:val="00101C60"/>
    <w:rsid w:val="001035B9"/>
    <w:rsid w:val="00120989"/>
    <w:rsid w:val="00125F3A"/>
    <w:rsid w:val="00141A6B"/>
    <w:rsid w:val="001448EB"/>
    <w:rsid w:val="001617AF"/>
    <w:rsid w:val="00165758"/>
    <w:rsid w:val="00181C6D"/>
    <w:rsid w:val="001B0028"/>
    <w:rsid w:val="001B56BF"/>
    <w:rsid w:val="001D3024"/>
    <w:rsid w:val="001E4FF5"/>
    <w:rsid w:val="001F313D"/>
    <w:rsid w:val="001F4CF7"/>
    <w:rsid w:val="00203961"/>
    <w:rsid w:val="00205E31"/>
    <w:rsid w:val="00206B0F"/>
    <w:rsid w:val="00216D5E"/>
    <w:rsid w:val="002218EC"/>
    <w:rsid w:val="00244C51"/>
    <w:rsid w:val="00245811"/>
    <w:rsid w:val="00253540"/>
    <w:rsid w:val="00257395"/>
    <w:rsid w:val="002738E4"/>
    <w:rsid w:val="00276931"/>
    <w:rsid w:val="00277999"/>
    <w:rsid w:val="0028268E"/>
    <w:rsid w:val="0028341D"/>
    <w:rsid w:val="002878D1"/>
    <w:rsid w:val="00292EC1"/>
    <w:rsid w:val="002A517E"/>
    <w:rsid w:val="002A522A"/>
    <w:rsid w:val="002A7760"/>
    <w:rsid w:val="002B6EB5"/>
    <w:rsid w:val="002C0975"/>
    <w:rsid w:val="002C5D0C"/>
    <w:rsid w:val="002D5A9C"/>
    <w:rsid w:val="0030027F"/>
    <w:rsid w:val="00302FB4"/>
    <w:rsid w:val="003166AB"/>
    <w:rsid w:val="003201A1"/>
    <w:rsid w:val="00323666"/>
    <w:rsid w:val="003237A7"/>
    <w:rsid w:val="00324EAC"/>
    <w:rsid w:val="00330FB7"/>
    <w:rsid w:val="00332401"/>
    <w:rsid w:val="00346E5B"/>
    <w:rsid w:val="003560C9"/>
    <w:rsid w:val="00372B00"/>
    <w:rsid w:val="00374575"/>
    <w:rsid w:val="003975AC"/>
    <w:rsid w:val="003B0DA7"/>
    <w:rsid w:val="003D31C0"/>
    <w:rsid w:val="003D593F"/>
    <w:rsid w:val="003D5E8D"/>
    <w:rsid w:val="003F0B23"/>
    <w:rsid w:val="00407338"/>
    <w:rsid w:val="00442DD5"/>
    <w:rsid w:val="0045718F"/>
    <w:rsid w:val="00457BDB"/>
    <w:rsid w:val="00460890"/>
    <w:rsid w:val="00463070"/>
    <w:rsid w:val="00465E41"/>
    <w:rsid w:val="00472738"/>
    <w:rsid w:val="00477DE0"/>
    <w:rsid w:val="0048249E"/>
    <w:rsid w:val="00493922"/>
    <w:rsid w:val="00494E47"/>
    <w:rsid w:val="004C1510"/>
    <w:rsid w:val="004D26A3"/>
    <w:rsid w:val="004F6563"/>
    <w:rsid w:val="004F690F"/>
    <w:rsid w:val="00534C6F"/>
    <w:rsid w:val="005365D6"/>
    <w:rsid w:val="0055077B"/>
    <w:rsid w:val="00555C86"/>
    <w:rsid w:val="005609D5"/>
    <w:rsid w:val="00560AB8"/>
    <w:rsid w:val="00564D5B"/>
    <w:rsid w:val="00593FD1"/>
    <w:rsid w:val="00597187"/>
    <w:rsid w:val="005A266F"/>
    <w:rsid w:val="005A5E6A"/>
    <w:rsid w:val="005B5FC1"/>
    <w:rsid w:val="005B75D3"/>
    <w:rsid w:val="005B7B7D"/>
    <w:rsid w:val="005D46A3"/>
    <w:rsid w:val="005E2404"/>
    <w:rsid w:val="005E2A64"/>
    <w:rsid w:val="005E65A3"/>
    <w:rsid w:val="005F1E17"/>
    <w:rsid w:val="0060147F"/>
    <w:rsid w:val="00614B52"/>
    <w:rsid w:val="006203CC"/>
    <w:rsid w:val="00620DC3"/>
    <w:rsid w:val="00631796"/>
    <w:rsid w:val="0063542A"/>
    <w:rsid w:val="006568DB"/>
    <w:rsid w:val="0066215B"/>
    <w:rsid w:val="0067090C"/>
    <w:rsid w:val="0068474A"/>
    <w:rsid w:val="006B0CC4"/>
    <w:rsid w:val="006B4E70"/>
    <w:rsid w:val="006C02B5"/>
    <w:rsid w:val="006C79F9"/>
    <w:rsid w:val="006E14DA"/>
    <w:rsid w:val="006E678C"/>
    <w:rsid w:val="006F5479"/>
    <w:rsid w:val="00712841"/>
    <w:rsid w:val="00717CF7"/>
    <w:rsid w:val="00737350"/>
    <w:rsid w:val="00743713"/>
    <w:rsid w:val="0074536B"/>
    <w:rsid w:val="007461FC"/>
    <w:rsid w:val="00746A88"/>
    <w:rsid w:val="00755FEC"/>
    <w:rsid w:val="0075656A"/>
    <w:rsid w:val="0076203B"/>
    <w:rsid w:val="0076452D"/>
    <w:rsid w:val="00772D0A"/>
    <w:rsid w:val="0078140D"/>
    <w:rsid w:val="007A432B"/>
    <w:rsid w:val="007C1EC3"/>
    <w:rsid w:val="007C2FBF"/>
    <w:rsid w:val="007C68C4"/>
    <w:rsid w:val="007D6403"/>
    <w:rsid w:val="007D65F9"/>
    <w:rsid w:val="008017AD"/>
    <w:rsid w:val="008039A0"/>
    <w:rsid w:val="00812937"/>
    <w:rsid w:val="00813BAC"/>
    <w:rsid w:val="00826AFE"/>
    <w:rsid w:val="00837CAF"/>
    <w:rsid w:val="00844D7E"/>
    <w:rsid w:val="0084524F"/>
    <w:rsid w:val="00853797"/>
    <w:rsid w:val="008544E5"/>
    <w:rsid w:val="00856359"/>
    <w:rsid w:val="0086265A"/>
    <w:rsid w:val="0086729E"/>
    <w:rsid w:val="00883564"/>
    <w:rsid w:val="00884F9D"/>
    <w:rsid w:val="008A3EB0"/>
    <w:rsid w:val="008A57C6"/>
    <w:rsid w:val="008B3F37"/>
    <w:rsid w:val="008E3D0E"/>
    <w:rsid w:val="008E55DE"/>
    <w:rsid w:val="0090097E"/>
    <w:rsid w:val="009024C0"/>
    <w:rsid w:val="00912DB0"/>
    <w:rsid w:val="00961E96"/>
    <w:rsid w:val="00963256"/>
    <w:rsid w:val="009717C2"/>
    <w:rsid w:val="009912BF"/>
    <w:rsid w:val="00995183"/>
    <w:rsid w:val="009A5562"/>
    <w:rsid w:val="009A6B61"/>
    <w:rsid w:val="009A7C22"/>
    <w:rsid w:val="009B4C41"/>
    <w:rsid w:val="009C333D"/>
    <w:rsid w:val="009C3FBD"/>
    <w:rsid w:val="009C778A"/>
    <w:rsid w:val="009C7C21"/>
    <w:rsid w:val="009D6B06"/>
    <w:rsid w:val="009F1632"/>
    <w:rsid w:val="00A06ED6"/>
    <w:rsid w:val="00A151F2"/>
    <w:rsid w:val="00A20D63"/>
    <w:rsid w:val="00A272CC"/>
    <w:rsid w:val="00A3369D"/>
    <w:rsid w:val="00A62053"/>
    <w:rsid w:val="00A655D0"/>
    <w:rsid w:val="00A65E6B"/>
    <w:rsid w:val="00A6723F"/>
    <w:rsid w:val="00A70C4F"/>
    <w:rsid w:val="00A726F9"/>
    <w:rsid w:val="00A74218"/>
    <w:rsid w:val="00A83979"/>
    <w:rsid w:val="00A8410A"/>
    <w:rsid w:val="00A85360"/>
    <w:rsid w:val="00A91507"/>
    <w:rsid w:val="00A91EC3"/>
    <w:rsid w:val="00AA1C12"/>
    <w:rsid w:val="00AC1026"/>
    <w:rsid w:val="00AC6562"/>
    <w:rsid w:val="00AE7BE0"/>
    <w:rsid w:val="00AF2737"/>
    <w:rsid w:val="00AF4301"/>
    <w:rsid w:val="00AF4CA9"/>
    <w:rsid w:val="00B01802"/>
    <w:rsid w:val="00B337D3"/>
    <w:rsid w:val="00B34AEF"/>
    <w:rsid w:val="00B40FB0"/>
    <w:rsid w:val="00B446A1"/>
    <w:rsid w:val="00B47103"/>
    <w:rsid w:val="00B64EA4"/>
    <w:rsid w:val="00B70039"/>
    <w:rsid w:val="00B80CEE"/>
    <w:rsid w:val="00B81E9A"/>
    <w:rsid w:val="00BA440C"/>
    <w:rsid w:val="00BA7C2B"/>
    <w:rsid w:val="00BB6FDE"/>
    <w:rsid w:val="00BC65A8"/>
    <w:rsid w:val="00BD2B1B"/>
    <w:rsid w:val="00BD5C77"/>
    <w:rsid w:val="00BF56D4"/>
    <w:rsid w:val="00C00059"/>
    <w:rsid w:val="00C05B0C"/>
    <w:rsid w:val="00C15090"/>
    <w:rsid w:val="00C20D5E"/>
    <w:rsid w:val="00C23135"/>
    <w:rsid w:val="00C24A4A"/>
    <w:rsid w:val="00C24A86"/>
    <w:rsid w:val="00C36931"/>
    <w:rsid w:val="00C37E10"/>
    <w:rsid w:val="00C42872"/>
    <w:rsid w:val="00C458B8"/>
    <w:rsid w:val="00C559DA"/>
    <w:rsid w:val="00C70A92"/>
    <w:rsid w:val="00C84D4E"/>
    <w:rsid w:val="00CA4C34"/>
    <w:rsid w:val="00CB20FE"/>
    <w:rsid w:val="00CB53A7"/>
    <w:rsid w:val="00CC036D"/>
    <w:rsid w:val="00CE3063"/>
    <w:rsid w:val="00CE7E51"/>
    <w:rsid w:val="00CF253B"/>
    <w:rsid w:val="00D06E34"/>
    <w:rsid w:val="00D13FC9"/>
    <w:rsid w:val="00D339F3"/>
    <w:rsid w:val="00D54907"/>
    <w:rsid w:val="00D56200"/>
    <w:rsid w:val="00D619BE"/>
    <w:rsid w:val="00D631EF"/>
    <w:rsid w:val="00D63212"/>
    <w:rsid w:val="00D64103"/>
    <w:rsid w:val="00D70CD1"/>
    <w:rsid w:val="00D72F55"/>
    <w:rsid w:val="00D73DB0"/>
    <w:rsid w:val="00D839B0"/>
    <w:rsid w:val="00D85739"/>
    <w:rsid w:val="00DA078C"/>
    <w:rsid w:val="00DA267F"/>
    <w:rsid w:val="00DA2DA7"/>
    <w:rsid w:val="00DC0343"/>
    <w:rsid w:val="00DC5A8B"/>
    <w:rsid w:val="00E029FC"/>
    <w:rsid w:val="00E12DB9"/>
    <w:rsid w:val="00E4039C"/>
    <w:rsid w:val="00E41170"/>
    <w:rsid w:val="00E44E72"/>
    <w:rsid w:val="00E55385"/>
    <w:rsid w:val="00E644C6"/>
    <w:rsid w:val="00E66D6E"/>
    <w:rsid w:val="00E70DCD"/>
    <w:rsid w:val="00E74712"/>
    <w:rsid w:val="00E81E1C"/>
    <w:rsid w:val="00E913F5"/>
    <w:rsid w:val="00E91785"/>
    <w:rsid w:val="00EA47FC"/>
    <w:rsid w:val="00EB2621"/>
    <w:rsid w:val="00EB512B"/>
    <w:rsid w:val="00EF1C1A"/>
    <w:rsid w:val="00EF4E0F"/>
    <w:rsid w:val="00EF7CE5"/>
    <w:rsid w:val="00F26ED6"/>
    <w:rsid w:val="00F333C9"/>
    <w:rsid w:val="00F37996"/>
    <w:rsid w:val="00F4363C"/>
    <w:rsid w:val="00F4732C"/>
    <w:rsid w:val="00F713C8"/>
    <w:rsid w:val="00F74E00"/>
    <w:rsid w:val="00F815B0"/>
    <w:rsid w:val="00FB3F57"/>
    <w:rsid w:val="00FE0904"/>
    <w:rsid w:val="00FF0484"/>
    <w:rsid w:val="00FF4E8C"/>
    <w:rsid w:val="00FF5A1F"/>
    <w:rsid w:val="01242A0E"/>
    <w:rsid w:val="063A1E85"/>
    <w:rsid w:val="093E155E"/>
    <w:rsid w:val="10650EA0"/>
    <w:rsid w:val="107071DF"/>
    <w:rsid w:val="109E20D3"/>
    <w:rsid w:val="11835511"/>
    <w:rsid w:val="150E19BE"/>
    <w:rsid w:val="16736340"/>
    <w:rsid w:val="17FA353F"/>
    <w:rsid w:val="1842530A"/>
    <w:rsid w:val="21DA4CE2"/>
    <w:rsid w:val="222A4F59"/>
    <w:rsid w:val="262F551E"/>
    <w:rsid w:val="2688436C"/>
    <w:rsid w:val="280A17F9"/>
    <w:rsid w:val="2F2C5860"/>
    <w:rsid w:val="39251389"/>
    <w:rsid w:val="3A7C66A6"/>
    <w:rsid w:val="3E5929D5"/>
    <w:rsid w:val="41180957"/>
    <w:rsid w:val="48B00A3D"/>
    <w:rsid w:val="4E41346B"/>
    <w:rsid w:val="502543A5"/>
    <w:rsid w:val="544D1EB6"/>
    <w:rsid w:val="544D6D2C"/>
    <w:rsid w:val="584F4855"/>
    <w:rsid w:val="5AD63931"/>
    <w:rsid w:val="5BB32C4E"/>
    <w:rsid w:val="5E414177"/>
    <w:rsid w:val="641C6CC7"/>
    <w:rsid w:val="64DB439F"/>
    <w:rsid w:val="6C2C3728"/>
    <w:rsid w:val="6F1F6F31"/>
    <w:rsid w:val="71D43D0E"/>
    <w:rsid w:val="743C24B2"/>
    <w:rsid w:val="75292A0E"/>
    <w:rsid w:val="75BE21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Calibri" w:hAnsi="Calibri" w:cs="Arial"/>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Date"/>
    <w:basedOn w:val="1"/>
    <w:next w:val="1"/>
    <w:link w:val="13"/>
    <w:unhideWhenUsed/>
    <w:uiPriority w:val="99"/>
    <w:pPr>
      <w:ind w:left="100" w:leftChars="2500"/>
    </w:p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uiPriority w:val="0"/>
  </w:style>
  <w:style w:type="character" w:styleId="12">
    <w:name w:val="Hyperlink"/>
    <w:uiPriority w:val="0"/>
    <w:rPr>
      <w:color w:val="0000FF"/>
      <w:u w:val="single"/>
    </w:rPr>
  </w:style>
  <w:style w:type="character" w:customStyle="1" w:styleId="13">
    <w:name w:val="日期 字符"/>
    <w:link w:val="3"/>
    <w:semiHidden/>
    <w:uiPriority w:val="99"/>
    <w:rPr>
      <w:rFonts w:ascii="Calibri" w:hAnsi="Calibri" w:cs="Arial"/>
      <w:kern w:val="2"/>
      <w:sz w:val="21"/>
      <w:szCs w:val="22"/>
    </w:rPr>
  </w:style>
  <w:style w:type="paragraph" w:customStyle="1" w:styleId="14">
    <w:name w:val="Char"/>
    <w:basedOn w:val="1"/>
    <w:uiPriority w:val="0"/>
    <w:rPr>
      <w:rFonts w:ascii="Times New Roman" w:hAnsi="Times New Roman" w:eastAsia="仿宋_GB2312" w:cs="Times New Roman"/>
      <w:snapToGrid w:val="0"/>
      <w:sz w:val="32"/>
      <w:szCs w:val="21"/>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922</Words>
  <Characters>5260</Characters>
  <Lines>43</Lines>
  <Paragraphs>12</Paragraphs>
  <TotalTime>0</TotalTime>
  <ScaleCrop>false</ScaleCrop>
  <LinksUpToDate>false</LinksUpToDate>
  <CharactersWithSpaces>6170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2020-06-01T02:29:00Z</dcterms:created>
  <dc:creator>Dell</dc:creator>
  <cp:lastModifiedBy>xyf</cp:lastModifiedBy>
  <cp:lastPrinted>2021-04-23T03:06:00Z</cp:lastPrinted>
  <dcterms:modified xsi:type="dcterms:W3CDTF">2022-05-09T02:17:06Z</dcterms:modified>
  <dc:title>湖北省卫生健康委员会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94777BCDD43F4E82B8F7294FBAA2B990</vt:lpwstr>
  </property>
</Properties>
</file>