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 w:hAnsi="仿宋" w:eastAsia="仿宋" w:cs="黑体"/>
          <w:color w:val="000000"/>
          <w:sz w:val="32"/>
          <w:szCs w:val="32"/>
        </w:rPr>
      </w:pPr>
      <w:bookmarkStart w:id="0" w:name="_GoBack"/>
      <w:r>
        <w:rPr>
          <w:rFonts w:hint="eastAsia" w:ascii="仿宋" w:hAnsi="仿宋" w:eastAsia="仿宋" w:cs="黑体"/>
          <w:color w:val="000000"/>
          <w:sz w:val="32"/>
          <w:szCs w:val="32"/>
        </w:rPr>
        <w:t>附表二</w:t>
      </w:r>
    </w:p>
    <w:p>
      <w:pPr>
        <w:spacing w:line="520" w:lineRule="exact"/>
        <w:jc w:val="center"/>
        <w:rPr>
          <w:rFonts w:ascii="仿宋" w:hAnsi="仿宋" w:eastAsia="仿宋" w:cs="???????"/>
          <w:color w:val="000000"/>
          <w:sz w:val="44"/>
          <w:szCs w:val="44"/>
        </w:rPr>
      </w:pPr>
      <w:r>
        <w:rPr>
          <w:rFonts w:hint="eastAsia" w:ascii="仿宋" w:hAnsi="仿宋" w:eastAsia="仿宋" w:cs="???????"/>
          <w:color w:val="000000"/>
          <w:sz w:val="44"/>
          <w:szCs w:val="44"/>
        </w:rPr>
        <w:t>荆州仲裁委员会仲裁员办案考核评分表</w:t>
      </w:r>
    </w:p>
    <w:bookmarkEnd w:id="0"/>
    <w:tbl>
      <w:tblPr>
        <w:tblStyle w:val="7"/>
        <w:tblpPr w:leftFromText="180" w:rightFromText="180" w:vertAnchor="page" w:horzAnchor="page" w:tblpX="1652" w:tblpY="2828"/>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4123"/>
        <w:gridCol w:w="1226"/>
        <w:gridCol w:w="90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755" w:type="dxa"/>
            <w:vAlign w:val="center"/>
          </w:tcPr>
          <w:p>
            <w:pPr>
              <w:spacing w:line="520" w:lineRule="exact"/>
              <w:jc w:val="center"/>
              <w:rPr>
                <w:rFonts w:ascii="仿宋" w:hAnsi="仿宋" w:eastAsia="仿宋"/>
                <w:color w:val="000000"/>
                <w:sz w:val="28"/>
                <w:szCs w:val="28"/>
              </w:rPr>
            </w:pPr>
            <w:r>
              <w:rPr>
                <w:rFonts w:hint="eastAsia" w:ascii="仿宋" w:hAnsi="仿宋" w:eastAsia="仿宋"/>
                <w:color w:val="000000"/>
                <w:sz w:val="28"/>
                <w:szCs w:val="28"/>
              </w:rPr>
              <w:t>单项总分</w:t>
            </w:r>
          </w:p>
        </w:tc>
        <w:tc>
          <w:tcPr>
            <w:tcW w:w="4123" w:type="dxa"/>
            <w:vAlign w:val="center"/>
          </w:tcPr>
          <w:p>
            <w:pPr>
              <w:spacing w:line="520" w:lineRule="exact"/>
              <w:jc w:val="center"/>
              <w:rPr>
                <w:rFonts w:ascii="仿宋" w:hAnsi="仿宋" w:eastAsia="仿宋"/>
                <w:color w:val="000000"/>
                <w:sz w:val="28"/>
                <w:szCs w:val="28"/>
              </w:rPr>
            </w:pPr>
            <w:r>
              <w:rPr>
                <w:rFonts w:hint="eastAsia" w:ascii="仿宋" w:hAnsi="仿宋" w:eastAsia="仿宋"/>
                <w:color w:val="000000"/>
                <w:sz w:val="28"/>
                <w:szCs w:val="28"/>
              </w:rPr>
              <w:t>考核扣分事项</w:t>
            </w:r>
          </w:p>
        </w:tc>
        <w:tc>
          <w:tcPr>
            <w:tcW w:w="1226" w:type="dxa"/>
            <w:vAlign w:val="center"/>
          </w:tcPr>
          <w:p>
            <w:pPr>
              <w:spacing w:line="520" w:lineRule="exact"/>
              <w:jc w:val="center"/>
              <w:rPr>
                <w:rFonts w:ascii="仿宋" w:hAnsi="仿宋" w:eastAsia="仿宋"/>
                <w:color w:val="000000"/>
                <w:sz w:val="28"/>
                <w:szCs w:val="28"/>
              </w:rPr>
            </w:pPr>
            <w:r>
              <w:rPr>
                <w:rFonts w:hint="eastAsia" w:ascii="仿宋" w:hAnsi="仿宋" w:eastAsia="仿宋"/>
                <w:color w:val="000000"/>
                <w:sz w:val="28"/>
                <w:szCs w:val="28"/>
              </w:rPr>
              <w:t>分值</w:t>
            </w:r>
          </w:p>
        </w:tc>
        <w:tc>
          <w:tcPr>
            <w:tcW w:w="902" w:type="dxa"/>
            <w:vAlign w:val="center"/>
          </w:tcPr>
          <w:p>
            <w:pPr>
              <w:spacing w:line="520" w:lineRule="exact"/>
              <w:jc w:val="center"/>
              <w:rPr>
                <w:rFonts w:ascii="仿宋" w:hAnsi="仿宋" w:eastAsia="仿宋"/>
                <w:color w:val="000000"/>
                <w:sz w:val="28"/>
                <w:szCs w:val="28"/>
              </w:rPr>
            </w:pPr>
            <w:r>
              <w:rPr>
                <w:rFonts w:hint="eastAsia" w:ascii="仿宋" w:hAnsi="仿宋" w:eastAsia="仿宋"/>
                <w:color w:val="000000"/>
                <w:sz w:val="28"/>
                <w:szCs w:val="28"/>
              </w:rPr>
              <w:t>扣分</w:t>
            </w:r>
          </w:p>
        </w:tc>
        <w:tc>
          <w:tcPr>
            <w:tcW w:w="974" w:type="dxa"/>
            <w:vAlign w:val="center"/>
          </w:tcPr>
          <w:p>
            <w:pPr>
              <w:spacing w:line="520" w:lineRule="exact"/>
              <w:jc w:val="center"/>
              <w:rPr>
                <w:rFonts w:ascii="仿宋" w:hAnsi="仿宋" w:eastAsia="仿宋"/>
                <w:color w:val="000000"/>
                <w:sz w:val="28"/>
                <w:szCs w:val="28"/>
              </w:rPr>
            </w:pPr>
            <w:r>
              <w:rPr>
                <w:rFonts w:hint="eastAsia" w:ascii="仿宋" w:hAnsi="仿宋" w:eastAsia="仿宋"/>
                <w:color w:val="000000"/>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755" w:type="dxa"/>
            <w:vMerge w:val="restart"/>
            <w:vAlign w:val="center"/>
          </w:tcPr>
          <w:p>
            <w:pPr>
              <w:spacing w:line="320" w:lineRule="exact"/>
              <w:jc w:val="center"/>
              <w:rPr>
                <w:rFonts w:ascii="仿宋" w:hAnsi="仿宋" w:eastAsia="仿宋"/>
                <w:color w:val="000000"/>
              </w:rPr>
            </w:pPr>
          </w:p>
          <w:p>
            <w:pPr>
              <w:spacing w:line="320" w:lineRule="exact"/>
              <w:jc w:val="center"/>
              <w:rPr>
                <w:rFonts w:ascii="仿宋" w:hAnsi="仿宋" w:eastAsia="仿宋"/>
                <w:color w:val="000000"/>
              </w:rPr>
            </w:pPr>
          </w:p>
          <w:p>
            <w:pPr>
              <w:spacing w:line="320" w:lineRule="exact"/>
              <w:jc w:val="center"/>
              <w:rPr>
                <w:rFonts w:ascii="仿宋" w:hAnsi="仿宋" w:eastAsia="仿宋"/>
                <w:color w:val="000000"/>
                <w:sz w:val="24"/>
              </w:rPr>
            </w:pPr>
            <w:r>
              <w:rPr>
                <w:rFonts w:hint="eastAsia" w:ascii="仿宋" w:hAnsi="仿宋" w:eastAsia="仿宋"/>
                <w:color w:val="000000"/>
                <w:sz w:val="24"/>
              </w:rPr>
              <w:t>庭前装备</w:t>
            </w:r>
          </w:p>
          <w:p>
            <w:pPr>
              <w:spacing w:line="320" w:lineRule="exact"/>
              <w:jc w:val="center"/>
              <w:rPr>
                <w:rFonts w:ascii="仿宋" w:hAnsi="仿宋" w:eastAsia="仿宋"/>
                <w:color w:val="000000"/>
                <w:sz w:val="30"/>
                <w:szCs w:val="30"/>
              </w:rPr>
            </w:pPr>
            <w:r>
              <w:rPr>
                <w:rFonts w:hint="eastAsia" w:ascii="仿宋" w:hAnsi="仿宋" w:eastAsia="仿宋"/>
                <w:color w:val="000000"/>
                <w:sz w:val="24"/>
              </w:rPr>
              <w:t>（总分：</w:t>
            </w:r>
            <w:r>
              <w:rPr>
                <w:rFonts w:ascii="仿宋" w:hAnsi="仿宋" w:eastAsia="仿宋"/>
                <w:color w:val="000000"/>
                <w:sz w:val="24"/>
              </w:rPr>
              <w:t>20</w:t>
            </w:r>
            <w:r>
              <w:rPr>
                <w:rFonts w:hint="eastAsia" w:ascii="仿宋" w:hAnsi="仿宋" w:eastAsia="仿宋"/>
                <w:color w:val="000000"/>
                <w:sz w:val="24"/>
              </w:rPr>
              <w:t>分）</w:t>
            </w: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询问案件标的后不接受指定</w:t>
            </w:r>
          </w:p>
        </w:tc>
        <w:tc>
          <w:tcPr>
            <w:tcW w:w="1226" w:type="dxa"/>
            <w:vAlign w:val="center"/>
          </w:tcPr>
          <w:p>
            <w:pPr>
              <w:spacing w:line="320" w:lineRule="exact"/>
              <w:jc w:val="center"/>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分</w:t>
            </w:r>
          </w:p>
        </w:tc>
        <w:tc>
          <w:tcPr>
            <w:tcW w:w="902" w:type="dxa"/>
            <w:vAlign w:val="center"/>
          </w:tcPr>
          <w:p>
            <w:pPr>
              <w:spacing w:line="320" w:lineRule="exact"/>
              <w:jc w:val="center"/>
              <w:rPr>
                <w:rFonts w:ascii="仿宋" w:hAnsi="仿宋" w:eastAsia="仿宋"/>
                <w:color w:val="000000"/>
              </w:rPr>
            </w:pPr>
          </w:p>
        </w:tc>
        <w:tc>
          <w:tcPr>
            <w:tcW w:w="974" w:type="dxa"/>
            <w:vMerge w:val="restart"/>
            <w:vAlign w:val="center"/>
          </w:tcPr>
          <w:p>
            <w:pPr>
              <w:spacing w:line="320" w:lineRule="exact"/>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首席仲裁员或独任仲裁员接受选指定后在开庭前未提交庭审提纲</w:t>
            </w:r>
          </w:p>
        </w:tc>
        <w:tc>
          <w:tcPr>
            <w:tcW w:w="1226" w:type="dxa"/>
            <w:vAlign w:val="center"/>
          </w:tcPr>
          <w:p>
            <w:pPr>
              <w:spacing w:line="320" w:lineRule="exact"/>
              <w:jc w:val="center"/>
              <w:rPr>
                <w:rFonts w:ascii="仿宋" w:hAnsi="仿宋" w:eastAsia="仿宋"/>
                <w:color w:val="000000"/>
                <w:sz w:val="24"/>
              </w:rPr>
            </w:pPr>
            <w:r>
              <w:rPr>
                <w:rFonts w:ascii="仿宋" w:hAnsi="仿宋" w:eastAsia="仿宋"/>
                <w:color w:val="000000"/>
                <w:sz w:val="24"/>
              </w:rPr>
              <w:t>-4</w:t>
            </w:r>
            <w:r>
              <w:rPr>
                <w:rFonts w:hint="eastAsia" w:ascii="仿宋" w:hAnsi="仿宋" w:eastAsia="仿宋"/>
                <w:color w:val="000000"/>
                <w:sz w:val="24"/>
              </w:rPr>
              <w:t>分</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调整已定审理日程</w:t>
            </w:r>
          </w:p>
        </w:tc>
        <w:tc>
          <w:tcPr>
            <w:tcW w:w="1226" w:type="dxa"/>
            <w:vAlign w:val="center"/>
          </w:tcPr>
          <w:p>
            <w:pPr>
              <w:spacing w:line="320" w:lineRule="exact"/>
              <w:jc w:val="center"/>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分</w:t>
            </w:r>
            <w:r>
              <w:rPr>
                <w:rFonts w:ascii="仿宋" w:hAnsi="仿宋" w:eastAsia="仿宋"/>
                <w:color w:val="000000"/>
                <w:sz w:val="24"/>
              </w:rPr>
              <w:t>/</w:t>
            </w:r>
            <w:r>
              <w:rPr>
                <w:rFonts w:hint="eastAsia" w:ascii="仿宋" w:hAnsi="仿宋" w:eastAsia="仿宋"/>
                <w:color w:val="000000"/>
                <w:sz w:val="24"/>
              </w:rPr>
              <w:t>次</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为谋求选定而事先与当事人或代理人接触</w:t>
            </w:r>
          </w:p>
        </w:tc>
        <w:tc>
          <w:tcPr>
            <w:tcW w:w="1226" w:type="dxa"/>
            <w:vAlign w:val="center"/>
          </w:tcPr>
          <w:p>
            <w:pPr>
              <w:spacing w:line="320" w:lineRule="exact"/>
              <w:jc w:val="center"/>
              <w:rPr>
                <w:rFonts w:ascii="仿宋" w:hAnsi="仿宋" w:eastAsia="仿宋"/>
                <w:color w:val="000000"/>
                <w:sz w:val="24"/>
              </w:rPr>
            </w:pPr>
            <w:r>
              <w:rPr>
                <w:rFonts w:ascii="仿宋" w:hAnsi="仿宋" w:eastAsia="仿宋"/>
                <w:color w:val="000000"/>
                <w:sz w:val="24"/>
              </w:rPr>
              <w:t>-10</w:t>
            </w:r>
            <w:r>
              <w:rPr>
                <w:rFonts w:hint="eastAsia" w:ascii="仿宋" w:hAnsi="仿宋" w:eastAsia="仿宋"/>
                <w:color w:val="000000"/>
                <w:sz w:val="24"/>
              </w:rPr>
              <w:t>分</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755" w:type="dxa"/>
            <w:vMerge w:val="restart"/>
            <w:vAlign w:val="center"/>
          </w:tcPr>
          <w:p>
            <w:pPr>
              <w:spacing w:line="320" w:lineRule="exact"/>
              <w:jc w:val="center"/>
              <w:rPr>
                <w:rFonts w:ascii="仿宋" w:hAnsi="仿宋" w:eastAsia="仿宋"/>
                <w:color w:val="000000"/>
              </w:rPr>
            </w:pPr>
          </w:p>
          <w:p>
            <w:pPr>
              <w:spacing w:line="320" w:lineRule="exact"/>
              <w:jc w:val="center"/>
              <w:rPr>
                <w:rFonts w:ascii="仿宋" w:hAnsi="仿宋" w:eastAsia="仿宋"/>
                <w:color w:val="000000"/>
              </w:rPr>
            </w:pPr>
          </w:p>
          <w:p>
            <w:pPr>
              <w:spacing w:line="320" w:lineRule="exact"/>
              <w:jc w:val="center"/>
              <w:rPr>
                <w:rFonts w:ascii="仿宋" w:hAnsi="仿宋" w:eastAsia="仿宋"/>
                <w:color w:val="000000"/>
                <w:sz w:val="28"/>
                <w:szCs w:val="28"/>
              </w:rPr>
            </w:pPr>
          </w:p>
          <w:p>
            <w:pPr>
              <w:spacing w:line="320" w:lineRule="exact"/>
              <w:jc w:val="center"/>
              <w:rPr>
                <w:rFonts w:ascii="仿宋" w:hAnsi="仿宋" w:eastAsia="仿宋"/>
                <w:color w:val="000000"/>
                <w:sz w:val="28"/>
                <w:szCs w:val="28"/>
              </w:rPr>
            </w:pPr>
          </w:p>
          <w:p>
            <w:pPr>
              <w:spacing w:line="320" w:lineRule="exact"/>
              <w:jc w:val="center"/>
              <w:rPr>
                <w:rFonts w:ascii="仿宋" w:hAnsi="仿宋" w:eastAsia="仿宋"/>
                <w:color w:val="000000"/>
                <w:sz w:val="24"/>
              </w:rPr>
            </w:pPr>
            <w:r>
              <w:rPr>
                <w:rFonts w:hint="eastAsia" w:ascii="仿宋" w:hAnsi="仿宋" w:eastAsia="仿宋"/>
                <w:color w:val="000000"/>
                <w:sz w:val="24"/>
              </w:rPr>
              <w:t>庭审情况</w:t>
            </w:r>
          </w:p>
          <w:p>
            <w:pPr>
              <w:spacing w:line="320" w:lineRule="exact"/>
              <w:jc w:val="center"/>
              <w:rPr>
                <w:rFonts w:ascii="仿宋" w:hAnsi="仿宋" w:eastAsia="仿宋"/>
                <w:color w:val="000000"/>
              </w:rPr>
            </w:pPr>
            <w:r>
              <w:rPr>
                <w:rFonts w:hint="eastAsia" w:ascii="仿宋" w:hAnsi="仿宋" w:eastAsia="仿宋"/>
                <w:color w:val="000000"/>
                <w:sz w:val="24"/>
              </w:rPr>
              <w:t>（总分：</w:t>
            </w:r>
            <w:r>
              <w:rPr>
                <w:rFonts w:ascii="仿宋" w:hAnsi="仿宋" w:eastAsia="仿宋"/>
                <w:color w:val="000000"/>
                <w:sz w:val="24"/>
              </w:rPr>
              <w:t>40</w:t>
            </w:r>
            <w:r>
              <w:rPr>
                <w:rFonts w:hint="eastAsia" w:ascii="仿宋" w:hAnsi="仿宋" w:eastAsia="仿宋"/>
                <w:color w:val="000000"/>
                <w:sz w:val="24"/>
              </w:rPr>
              <w:t>分）</w:t>
            </w: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迟到或者早退</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-2</w:t>
            </w:r>
            <w:r>
              <w:rPr>
                <w:rFonts w:hint="eastAsia" w:ascii="仿宋" w:hAnsi="仿宋" w:eastAsia="仿宋"/>
                <w:color w:val="000000"/>
              </w:rPr>
              <w:t>分</w:t>
            </w:r>
            <w:r>
              <w:rPr>
                <w:rFonts w:ascii="仿宋" w:hAnsi="仿宋" w:eastAsia="仿宋"/>
                <w:color w:val="000000"/>
              </w:rPr>
              <w:t>/</w:t>
            </w:r>
            <w:r>
              <w:rPr>
                <w:rFonts w:hint="eastAsia" w:ascii="仿宋" w:hAnsi="仿宋" w:eastAsia="仿宋"/>
                <w:color w:val="000000"/>
              </w:rPr>
              <w:t>次</w:t>
            </w:r>
          </w:p>
        </w:tc>
        <w:tc>
          <w:tcPr>
            <w:tcW w:w="902" w:type="dxa"/>
            <w:vAlign w:val="center"/>
          </w:tcPr>
          <w:p>
            <w:pPr>
              <w:spacing w:line="320" w:lineRule="exact"/>
              <w:jc w:val="center"/>
              <w:rPr>
                <w:rFonts w:ascii="仿宋" w:hAnsi="仿宋" w:eastAsia="仿宋"/>
                <w:color w:val="000000"/>
              </w:rPr>
            </w:pPr>
          </w:p>
        </w:tc>
        <w:tc>
          <w:tcPr>
            <w:tcW w:w="974" w:type="dxa"/>
            <w:vMerge w:val="restart"/>
            <w:vAlign w:val="center"/>
          </w:tcPr>
          <w:p>
            <w:pPr>
              <w:spacing w:line="320" w:lineRule="exact"/>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庭审中玩耍手机、接打电话</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-2</w:t>
            </w:r>
            <w:r>
              <w:rPr>
                <w:rFonts w:hint="eastAsia" w:ascii="仿宋" w:hAnsi="仿宋" w:eastAsia="仿宋"/>
                <w:color w:val="000000"/>
              </w:rPr>
              <w:t>分</w:t>
            </w:r>
            <w:r>
              <w:rPr>
                <w:rFonts w:ascii="仿宋" w:hAnsi="仿宋" w:eastAsia="仿宋"/>
                <w:color w:val="000000"/>
              </w:rPr>
              <w:t>/</w:t>
            </w:r>
            <w:r>
              <w:rPr>
                <w:rFonts w:hint="eastAsia" w:ascii="仿宋" w:hAnsi="仿宋" w:eastAsia="仿宋"/>
                <w:color w:val="000000"/>
              </w:rPr>
              <w:t>次</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庭审中吸烟</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-2</w:t>
            </w:r>
            <w:r>
              <w:rPr>
                <w:rFonts w:hint="eastAsia" w:ascii="仿宋" w:hAnsi="仿宋" w:eastAsia="仿宋"/>
                <w:color w:val="000000"/>
              </w:rPr>
              <w:t>分</w:t>
            </w:r>
            <w:r>
              <w:rPr>
                <w:rFonts w:ascii="仿宋" w:hAnsi="仿宋" w:eastAsia="仿宋"/>
                <w:color w:val="000000"/>
              </w:rPr>
              <w:t>/</w:t>
            </w:r>
            <w:r>
              <w:rPr>
                <w:rFonts w:hint="eastAsia" w:ascii="仿宋" w:hAnsi="仿宋" w:eastAsia="仿宋"/>
                <w:color w:val="000000"/>
              </w:rPr>
              <w:t>次</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庭审中着装不规范（不着正装）</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-2</w:t>
            </w:r>
            <w:r>
              <w:rPr>
                <w:rFonts w:hint="eastAsia" w:ascii="仿宋" w:hAnsi="仿宋" w:eastAsia="仿宋"/>
                <w:color w:val="000000"/>
              </w:rPr>
              <w:t>分</w:t>
            </w:r>
            <w:r>
              <w:rPr>
                <w:rFonts w:ascii="仿宋" w:hAnsi="仿宋" w:eastAsia="仿宋"/>
                <w:color w:val="000000"/>
              </w:rPr>
              <w:t>/</w:t>
            </w:r>
            <w:r>
              <w:rPr>
                <w:rFonts w:hint="eastAsia" w:ascii="仿宋" w:hAnsi="仿宋" w:eastAsia="仿宋"/>
                <w:color w:val="000000"/>
              </w:rPr>
              <w:t>次</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酒后开庭</w:t>
            </w:r>
          </w:p>
        </w:tc>
        <w:tc>
          <w:tcPr>
            <w:tcW w:w="1226" w:type="dxa"/>
            <w:vAlign w:val="center"/>
          </w:tcPr>
          <w:p>
            <w:pPr>
              <w:spacing w:line="320" w:lineRule="exact"/>
              <w:jc w:val="center"/>
              <w:rPr>
                <w:rFonts w:ascii="仿宋" w:hAnsi="仿宋" w:eastAsia="仿宋"/>
                <w:color w:val="000000"/>
              </w:rPr>
            </w:pPr>
            <w:r>
              <w:rPr>
                <w:rFonts w:hint="eastAsia" w:ascii="仿宋" w:hAnsi="仿宋" w:eastAsia="仿宋"/>
                <w:color w:val="000000"/>
              </w:rPr>
              <w:t>一票否决</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确定开庭时间后缺席</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-7</w:t>
            </w:r>
            <w:r>
              <w:rPr>
                <w:rFonts w:hint="eastAsia" w:ascii="仿宋" w:hAnsi="仿宋" w:eastAsia="仿宋"/>
                <w:color w:val="000000"/>
              </w:rPr>
              <w:t>分</w:t>
            </w:r>
            <w:r>
              <w:rPr>
                <w:rFonts w:ascii="仿宋" w:hAnsi="仿宋" w:eastAsia="仿宋"/>
                <w:color w:val="000000"/>
              </w:rPr>
              <w:t>/</w:t>
            </w:r>
            <w:r>
              <w:rPr>
                <w:rFonts w:hint="eastAsia" w:ascii="仿宋" w:hAnsi="仿宋" w:eastAsia="仿宋"/>
                <w:color w:val="000000"/>
              </w:rPr>
              <w:t>次</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未主动披露回避情形，未造成严重后果</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-5</w:t>
            </w:r>
            <w:r>
              <w:rPr>
                <w:rFonts w:hint="eastAsia" w:ascii="仿宋" w:hAnsi="仿宋" w:eastAsia="仿宋"/>
                <w:color w:val="000000"/>
              </w:rPr>
              <w:t>分</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庭审中与当事人发生争执</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-5</w:t>
            </w:r>
            <w:r>
              <w:rPr>
                <w:rFonts w:hint="eastAsia" w:ascii="仿宋" w:hAnsi="仿宋" w:eastAsia="仿宋"/>
                <w:color w:val="000000"/>
              </w:rPr>
              <w:t>分</w:t>
            </w:r>
            <w:r>
              <w:rPr>
                <w:rFonts w:ascii="仿宋" w:hAnsi="仿宋" w:eastAsia="仿宋"/>
                <w:color w:val="000000"/>
              </w:rPr>
              <w:t>/</w:t>
            </w:r>
            <w:r>
              <w:rPr>
                <w:rFonts w:hint="eastAsia" w:ascii="仿宋" w:hAnsi="仿宋" w:eastAsia="仿宋"/>
                <w:color w:val="000000"/>
              </w:rPr>
              <w:t>次</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庭审程序不规范</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-5</w:t>
            </w:r>
            <w:r>
              <w:rPr>
                <w:rFonts w:hint="eastAsia" w:ascii="仿宋" w:hAnsi="仿宋" w:eastAsia="仿宋"/>
                <w:color w:val="000000"/>
              </w:rPr>
              <w:t>分</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恢复庭审（未释明、未告知恢复事实等）</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-2</w:t>
            </w:r>
            <w:r>
              <w:rPr>
                <w:rFonts w:hint="eastAsia" w:ascii="仿宋" w:hAnsi="仿宋" w:eastAsia="仿宋"/>
                <w:color w:val="000000"/>
              </w:rPr>
              <w:t>分</w:t>
            </w:r>
            <w:r>
              <w:rPr>
                <w:rFonts w:ascii="仿宋" w:hAnsi="仿宋" w:eastAsia="仿宋"/>
                <w:color w:val="000000"/>
              </w:rPr>
              <w:t>/</w:t>
            </w:r>
            <w:r>
              <w:rPr>
                <w:rFonts w:hint="eastAsia" w:ascii="仿宋" w:hAnsi="仿宋" w:eastAsia="仿宋"/>
                <w:color w:val="000000"/>
              </w:rPr>
              <w:t>次</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在开庭审理中，违背公正原则，代替一方向另一方质证、辩论、提出要求</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-8</w:t>
            </w:r>
            <w:r>
              <w:rPr>
                <w:rFonts w:hint="eastAsia" w:ascii="仿宋" w:hAnsi="仿宋" w:eastAsia="仿宋"/>
                <w:color w:val="000000"/>
              </w:rPr>
              <w:t>分</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55" w:type="dxa"/>
            <w:vMerge w:val="restart"/>
            <w:vAlign w:val="center"/>
          </w:tcPr>
          <w:p>
            <w:pPr>
              <w:spacing w:line="320" w:lineRule="exact"/>
              <w:jc w:val="center"/>
              <w:rPr>
                <w:rFonts w:ascii="仿宋" w:hAnsi="仿宋" w:eastAsia="仿宋"/>
                <w:color w:val="000000"/>
              </w:rPr>
            </w:pPr>
          </w:p>
          <w:p>
            <w:pPr>
              <w:spacing w:line="320" w:lineRule="exact"/>
              <w:jc w:val="center"/>
              <w:rPr>
                <w:rFonts w:ascii="仿宋" w:hAnsi="仿宋" w:eastAsia="仿宋"/>
                <w:color w:val="000000"/>
              </w:rPr>
            </w:pPr>
          </w:p>
          <w:p>
            <w:pPr>
              <w:spacing w:line="320" w:lineRule="exact"/>
              <w:jc w:val="center"/>
              <w:rPr>
                <w:rFonts w:ascii="仿宋" w:hAnsi="仿宋" w:eastAsia="仿宋"/>
                <w:color w:val="000000"/>
              </w:rPr>
            </w:pPr>
          </w:p>
          <w:p>
            <w:pPr>
              <w:spacing w:line="320" w:lineRule="exact"/>
              <w:jc w:val="center"/>
              <w:rPr>
                <w:rFonts w:ascii="仿宋" w:hAnsi="仿宋" w:eastAsia="仿宋"/>
                <w:color w:val="000000"/>
                <w:sz w:val="24"/>
              </w:rPr>
            </w:pPr>
            <w:r>
              <w:rPr>
                <w:rFonts w:hint="eastAsia" w:ascii="仿宋" w:hAnsi="仿宋" w:eastAsia="仿宋"/>
                <w:color w:val="000000"/>
                <w:sz w:val="24"/>
              </w:rPr>
              <w:t>庭后裁决</w:t>
            </w:r>
          </w:p>
          <w:p>
            <w:pPr>
              <w:spacing w:line="320" w:lineRule="exact"/>
              <w:jc w:val="center"/>
              <w:rPr>
                <w:rFonts w:ascii="仿宋" w:hAnsi="仿宋" w:eastAsia="仿宋"/>
                <w:color w:val="000000"/>
              </w:rPr>
            </w:pPr>
            <w:r>
              <w:rPr>
                <w:rFonts w:hint="eastAsia" w:ascii="仿宋" w:hAnsi="仿宋" w:eastAsia="仿宋"/>
                <w:color w:val="000000"/>
                <w:sz w:val="24"/>
              </w:rPr>
              <w:t>（总分：</w:t>
            </w:r>
            <w:r>
              <w:rPr>
                <w:rFonts w:ascii="仿宋" w:hAnsi="仿宋" w:eastAsia="仿宋"/>
                <w:color w:val="000000"/>
                <w:sz w:val="24"/>
              </w:rPr>
              <w:t>40</w:t>
            </w:r>
            <w:r>
              <w:rPr>
                <w:rFonts w:hint="eastAsia" w:ascii="仿宋" w:hAnsi="仿宋" w:eastAsia="仿宋"/>
                <w:color w:val="000000"/>
                <w:sz w:val="24"/>
              </w:rPr>
              <w:t>分）</w:t>
            </w: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超期提交裁决书（每超十天计算一期）</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-5</w:t>
            </w:r>
            <w:r>
              <w:rPr>
                <w:rFonts w:hint="eastAsia" w:ascii="仿宋" w:hAnsi="仿宋" w:eastAsia="仿宋"/>
                <w:color w:val="000000"/>
              </w:rPr>
              <w:t>分</w:t>
            </w:r>
            <w:r>
              <w:rPr>
                <w:rFonts w:ascii="仿宋" w:hAnsi="仿宋" w:eastAsia="仿宋"/>
                <w:color w:val="000000"/>
              </w:rPr>
              <w:t>/</w:t>
            </w:r>
            <w:r>
              <w:rPr>
                <w:rFonts w:hint="eastAsia" w:ascii="仿宋" w:hAnsi="仿宋" w:eastAsia="仿宋"/>
                <w:color w:val="000000"/>
              </w:rPr>
              <w:t>期</w:t>
            </w:r>
          </w:p>
        </w:tc>
        <w:tc>
          <w:tcPr>
            <w:tcW w:w="902" w:type="dxa"/>
            <w:vAlign w:val="center"/>
          </w:tcPr>
          <w:p>
            <w:pPr>
              <w:spacing w:line="320" w:lineRule="exact"/>
              <w:jc w:val="center"/>
              <w:rPr>
                <w:rFonts w:ascii="仿宋" w:hAnsi="仿宋" w:eastAsia="仿宋"/>
                <w:color w:val="000000"/>
              </w:rPr>
            </w:pPr>
          </w:p>
        </w:tc>
        <w:tc>
          <w:tcPr>
            <w:tcW w:w="974" w:type="dxa"/>
            <w:vMerge w:val="restart"/>
            <w:vAlign w:val="center"/>
          </w:tcPr>
          <w:p>
            <w:pPr>
              <w:spacing w:line="320" w:lineRule="exact"/>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裁决文书不符合格式标准，拒绝修改</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-5</w:t>
            </w:r>
            <w:r>
              <w:rPr>
                <w:rFonts w:hint="eastAsia" w:ascii="仿宋" w:hAnsi="仿宋" w:eastAsia="仿宋"/>
                <w:color w:val="000000"/>
              </w:rPr>
              <w:t>分</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仲裁文书质量差（逻辑混乱、说理不清、内容缺失）</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-12</w:t>
            </w:r>
            <w:r>
              <w:rPr>
                <w:rFonts w:hint="eastAsia" w:ascii="仿宋" w:hAnsi="仿宋" w:eastAsia="仿宋"/>
                <w:color w:val="000000"/>
              </w:rPr>
              <w:t>分</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拒绝采纳专家咨询委员会意见，拒绝说明理由，或者故意曲解事实和法律</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-10</w:t>
            </w:r>
            <w:r>
              <w:rPr>
                <w:rFonts w:hint="eastAsia" w:ascii="仿宋" w:hAnsi="仿宋" w:eastAsia="仿宋"/>
                <w:color w:val="000000"/>
              </w:rPr>
              <w:t>分</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755" w:type="dxa"/>
            <w:vMerge w:val="continue"/>
            <w:vAlign w:val="center"/>
          </w:tcPr>
          <w:p>
            <w:pPr>
              <w:rPr>
                <w:rFonts w:ascii="仿宋" w:hAnsi="仿宋" w:eastAsia="仿宋"/>
              </w:rPr>
            </w:pPr>
          </w:p>
        </w:tc>
        <w:tc>
          <w:tcPr>
            <w:tcW w:w="4123" w:type="dxa"/>
            <w:vAlign w:val="center"/>
          </w:tcPr>
          <w:p>
            <w:pPr>
              <w:spacing w:line="320" w:lineRule="exact"/>
              <w:jc w:val="left"/>
              <w:rPr>
                <w:rFonts w:ascii="仿宋" w:hAnsi="仿宋" w:eastAsia="仿宋"/>
                <w:color w:val="000000"/>
              </w:rPr>
            </w:pPr>
            <w:r>
              <w:rPr>
                <w:rFonts w:hint="eastAsia" w:ascii="仿宋" w:hAnsi="仿宋" w:eastAsia="仿宋"/>
                <w:color w:val="000000"/>
              </w:rPr>
              <w:t>不按要求进行庭后答疑、信访接待</w:t>
            </w:r>
          </w:p>
        </w:tc>
        <w:tc>
          <w:tcPr>
            <w:tcW w:w="1226" w:type="dxa"/>
            <w:vAlign w:val="center"/>
          </w:tcPr>
          <w:p>
            <w:pPr>
              <w:spacing w:line="320" w:lineRule="exact"/>
              <w:jc w:val="center"/>
              <w:rPr>
                <w:rFonts w:ascii="仿宋" w:hAnsi="仿宋" w:eastAsia="仿宋"/>
                <w:color w:val="000000"/>
              </w:rPr>
            </w:pPr>
            <w:r>
              <w:rPr>
                <w:rFonts w:ascii="仿宋" w:hAnsi="仿宋" w:eastAsia="仿宋"/>
                <w:color w:val="000000"/>
              </w:rPr>
              <w:t>-8</w:t>
            </w:r>
            <w:r>
              <w:rPr>
                <w:rFonts w:hint="eastAsia" w:ascii="仿宋" w:hAnsi="仿宋" w:eastAsia="仿宋"/>
                <w:color w:val="000000"/>
              </w:rPr>
              <w:t>分</w:t>
            </w:r>
            <w:r>
              <w:rPr>
                <w:rFonts w:ascii="仿宋" w:hAnsi="仿宋" w:eastAsia="仿宋"/>
                <w:color w:val="000000"/>
              </w:rPr>
              <w:t>/</w:t>
            </w:r>
            <w:r>
              <w:rPr>
                <w:rFonts w:hint="eastAsia" w:ascii="仿宋" w:hAnsi="仿宋" w:eastAsia="仿宋"/>
                <w:color w:val="000000"/>
              </w:rPr>
              <w:t>次</w:t>
            </w:r>
          </w:p>
        </w:tc>
        <w:tc>
          <w:tcPr>
            <w:tcW w:w="902" w:type="dxa"/>
            <w:vAlign w:val="center"/>
          </w:tcPr>
          <w:p>
            <w:pPr>
              <w:spacing w:line="320" w:lineRule="exact"/>
              <w:jc w:val="center"/>
              <w:rPr>
                <w:rFonts w:ascii="仿宋" w:hAnsi="仿宋" w:eastAsia="仿宋"/>
                <w:color w:val="000000"/>
              </w:rPr>
            </w:pPr>
          </w:p>
        </w:tc>
        <w:tc>
          <w:tcPr>
            <w:tcW w:w="974" w:type="dxa"/>
            <w:vMerge w:val="continue"/>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755" w:type="dxa"/>
            <w:vAlign w:val="center"/>
          </w:tcPr>
          <w:p>
            <w:pPr>
              <w:spacing w:line="320" w:lineRule="exact"/>
              <w:jc w:val="center"/>
              <w:rPr>
                <w:rFonts w:ascii="仿宋" w:hAnsi="仿宋" w:eastAsia="仿宋"/>
                <w:color w:val="000000"/>
                <w:sz w:val="24"/>
              </w:rPr>
            </w:pPr>
            <w:r>
              <w:rPr>
                <w:rFonts w:hint="eastAsia" w:ascii="仿宋" w:hAnsi="仿宋" w:eastAsia="仿宋"/>
                <w:color w:val="000000"/>
                <w:sz w:val="24"/>
              </w:rPr>
              <w:t>合计得分</w:t>
            </w:r>
          </w:p>
        </w:tc>
        <w:tc>
          <w:tcPr>
            <w:tcW w:w="7225" w:type="dxa"/>
            <w:gridSpan w:val="4"/>
            <w:vAlign w:val="center"/>
          </w:tcPr>
          <w:p>
            <w:pPr>
              <w:spacing w:line="320" w:lineRule="exact"/>
              <w:jc w:val="center"/>
              <w:rPr>
                <w:rFonts w:ascii="仿宋" w:hAnsi="仿宋" w:eastAsia="仿宋"/>
                <w:color w:val="000000"/>
              </w:rPr>
            </w:pPr>
          </w:p>
        </w:tc>
      </w:tr>
    </w:tbl>
    <w:p>
      <w:pPr>
        <w:spacing w:line="280" w:lineRule="exact"/>
        <w:jc w:val="center"/>
        <w:rPr>
          <w:rFonts w:ascii="仿宋" w:hAnsi="仿宋" w:eastAsia="仿宋" w:cs="???????"/>
          <w:color w:val="000000"/>
          <w:sz w:val="44"/>
          <w:szCs w:val="44"/>
        </w:rPr>
      </w:pPr>
    </w:p>
    <w:p>
      <w:pPr>
        <w:spacing w:line="320" w:lineRule="exact"/>
        <w:rPr>
          <w:rFonts w:ascii="仿宋" w:hAnsi="仿宋" w:eastAsia="仿宋"/>
          <w:color w:val="000000"/>
          <w:sz w:val="32"/>
          <w:szCs w:val="32"/>
        </w:rPr>
      </w:pPr>
      <w:r>
        <w:rPr>
          <w:rFonts w:hint="eastAsia" w:ascii="仿宋" w:hAnsi="仿宋" w:eastAsia="仿宋"/>
          <w:color w:val="000000"/>
          <w:sz w:val="32"/>
          <w:szCs w:val="32"/>
        </w:rPr>
        <w:t>案号：</w:t>
      </w:r>
      <w:r>
        <w:rPr>
          <w:rFonts w:ascii="仿宋" w:hAnsi="仿宋" w:eastAsia="仿宋"/>
          <w:color w:val="000000"/>
          <w:sz w:val="32"/>
          <w:szCs w:val="32"/>
        </w:rPr>
        <w:t xml:space="preserve">                    </w:t>
      </w:r>
      <w:r>
        <w:rPr>
          <w:rFonts w:hint="eastAsia" w:ascii="仿宋" w:hAnsi="仿宋" w:eastAsia="仿宋"/>
          <w:color w:val="000000"/>
          <w:sz w:val="32"/>
          <w:szCs w:val="32"/>
        </w:rPr>
        <w:t>仲裁员名字：</w:t>
      </w:r>
    </w:p>
    <w:p>
      <w:pPr>
        <w:adjustRightInd w:val="0"/>
        <w:snapToGrid w:val="0"/>
        <w:spacing w:line="280" w:lineRule="exact"/>
        <w:rPr>
          <w:rFonts w:hint="eastAsia" w:ascii="仿宋" w:hAnsi="仿宋" w:eastAsia="仿宋"/>
          <w:color w:val="000000"/>
          <w:sz w:val="24"/>
        </w:rPr>
      </w:pPr>
    </w:p>
    <w:p>
      <w:pPr>
        <w:adjustRightInd w:val="0"/>
        <w:snapToGrid w:val="0"/>
        <w:spacing w:line="280" w:lineRule="exact"/>
        <w:ind w:left="-199" w:leftChars="-95" w:right="-512" w:rightChars="-244" w:firstLine="0" w:firstLineChars="0"/>
        <w:rPr>
          <w:rFonts w:ascii="仿宋" w:hAnsi="仿宋" w:eastAsia="仿宋"/>
          <w:color w:val="000000"/>
          <w:sz w:val="24"/>
        </w:rPr>
      </w:pPr>
      <w:r>
        <w:rPr>
          <w:rFonts w:hint="eastAsia" w:ascii="仿宋" w:hAnsi="仿宋" w:eastAsia="仿宋"/>
          <w:color w:val="000000"/>
          <w:sz w:val="24"/>
        </w:rPr>
        <w:t>备注：</w:t>
      </w:r>
      <w:r>
        <w:rPr>
          <w:rFonts w:ascii="仿宋" w:hAnsi="仿宋" w:eastAsia="仿宋"/>
          <w:color w:val="000000"/>
          <w:sz w:val="24"/>
        </w:rPr>
        <w:t>1</w:t>
      </w:r>
      <w:r>
        <w:rPr>
          <w:rFonts w:hint="eastAsia" w:ascii="仿宋" w:hAnsi="仿宋" w:eastAsia="仿宋"/>
          <w:color w:val="000000"/>
          <w:sz w:val="24"/>
        </w:rPr>
        <w:t>、办案考核评分表为扣分制，预设单项总分，扣分不得超过预设分值。</w:t>
      </w:r>
      <w:r>
        <w:rPr>
          <w:rFonts w:ascii="仿宋" w:hAnsi="仿宋" w:eastAsia="仿宋"/>
          <w:color w:val="000000"/>
          <w:sz w:val="24"/>
        </w:rPr>
        <w:t>2</w:t>
      </w:r>
      <w:r>
        <w:rPr>
          <w:rFonts w:hint="eastAsia" w:ascii="仿宋" w:hAnsi="仿宋" w:eastAsia="仿宋"/>
          <w:color w:val="000000"/>
          <w:sz w:val="24"/>
        </w:rPr>
        <w:t>、仲裁员办理每个案件后，由仲裁庭秘书和秘书处共同打分。</w:t>
      </w:r>
      <w:r>
        <w:rPr>
          <w:rFonts w:ascii="仿宋" w:hAnsi="仿宋" w:eastAsia="仿宋"/>
          <w:color w:val="000000"/>
          <w:sz w:val="24"/>
        </w:rPr>
        <w:t>3</w:t>
      </w:r>
      <w:r>
        <w:rPr>
          <w:rFonts w:hint="eastAsia" w:ascii="仿宋" w:hAnsi="仿宋" w:eastAsia="仿宋"/>
          <w:color w:val="000000"/>
          <w:sz w:val="24"/>
        </w:rPr>
        <w:t>、每年度考核时将仲裁员一年中所有办案得分相加后计算出的平均分数即为该仲裁员一年的办案考核得分；每届结束时将五年的年度考核得分相加之后计算出的平均分数即为该仲裁员本届的办案考核得分。</w:t>
      </w:r>
      <w:r>
        <w:rPr>
          <w:rFonts w:ascii="仿宋" w:hAnsi="仿宋" w:eastAsia="仿宋"/>
          <w:color w:val="000000"/>
          <w:sz w:val="24"/>
        </w:rPr>
        <w:t>4</w:t>
      </w:r>
      <w:r>
        <w:rPr>
          <w:rFonts w:hint="eastAsia" w:ascii="仿宋" w:hAnsi="仿宋" w:eastAsia="仿宋"/>
          <w:color w:val="000000"/>
          <w:sz w:val="24"/>
        </w:rPr>
        <w:t>、未办理案件的仲裁员不得分。</w:t>
      </w:r>
    </w:p>
    <w:p>
      <w:pPr>
        <w:rPr>
          <w:rFonts w:ascii="仿宋" w:hAnsi="仿宋" w:eastAsia="仿宋"/>
        </w:rPr>
      </w:pPr>
    </w:p>
    <w:sectPr>
      <w:footerReference r:id="rId3"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_GBK">
    <w:altName w:val="魂心"/>
    <w:panose1 w:val="00000000000000000000"/>
    <w:charset w:val="00"/>
    <w:family w:val="auto"/>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魂心">
    <w:panose1 w:val="02000009000000000000"/>
    <w:charset w:val="80"/>
    <w:family w:val="auto"/>
    <w:pitch w:val="default"/>
    <w:sig w:usb0="A1007AEF" w:usb1="F9DF7CFB" w:usb2="0000001E" w:usb3="00000000" w:csb0="2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Style w:val="9"/>
      </w:rPr>
      <w:fldChar w:fldCharType="begin"/>
    </w:r>
    <w:r>
      <w:rPr>
        <w:rStyle w:val="9"/>
      </w:rPr>
      <w:instrText xml:space="preserve"> PAGE </w:instrText>
    </w:r>
    <w:r>
      <w:rPr>
        <w:rStyle w:val="9"/>
      </w:rPr>
      <w:fldChar w:fldCharType="separate"/>
    </w:r>
    <w:r>
      <w:rPr>
        <w:rStyle w:val="9"/>
      </w:rPr>
      <w:t>4</w:t>
    </w:r>
    <w:r>
      <w:rPr>
        <w:rStyle w:val="9"/>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2AB"/>
    <w:rsid w:val="00053B2A"/>
    <w:rsid w:val="0017468B"/>
    <w:rsid w:val="003A52AB"/>
    <w:rsid w:val="004565D9"/>
    <w:rsid w:val="00A95A6E"/>
    <w:rsid w:val="43517978"/>
    <w:rsid w:val="4EBD02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rPr>
  </w:style>
  <w:style w:type="paragraph" w:styleId="3">
    <w:name w:val="heading 2"/>
    <w:basedOn w:val="1"/>
    <w:next w:val="1"/>
    <w:link w:val="11"/>
    <w:qFormat/>
    <w:uiPriority w:val="99"/>
    <w:pPr>
      <w:keepNext/>
      <w:keepLines/>
      <w:spacing w:before="260" w:after="260" w:line="415" w:lineRule="auto"/>
      <w:outlineLvl w:val="1"/>
    </w:pPr>
    <w:rPr>
      <w:rFonts w:ascii="Arial" w:hAnsi="Arial" w:eastAsia="黑体"/>
      <w:b/>
      <w:sz w:val="32"/>
    </w:rPr>
  </w:style>
  <w:style w:type="paragraph" w:styleId="4">
    <w:name w:val="heading 3"/>
    <w:basedOn w:val="1"/>
    <w:next w:val="1"/>
    <w:link w:val="12"/>
    <w:qFormat/>
    <w:uiPriority w:val="99"/>
    <w:pPr>
      <w:keepNext/>
      <w:keepLines/>
      <w:spacing w:before="260" w:after="260" w:line="415" w:lineRule="auto"/>
      <w:outlineLvl w:val="2"/>
    </w:pPr>
    <w:rPr>
      <w:b/>
      <w:sz w:val="32"/>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99"/>
    <w:rPr>
      <w:rFonts w:cs="Times New Roman"/>
    </w:rPr>
  </w:style>
  <w:style w:type="character" w:customStyle="1" w:styleId="10">
    <w:name w:val="Heading 1 Char"/>
    <w:basedOn w:val="8"/>
    <w:link w:val="2"/>
    <w:uiPriority w:val="9"/>
    <w:rPr>
      <w:b/>
      <w:bCs/>
      <w:kern w:val="44"/>
      <w:sz w:val="44"/>
      <w:szCs w:val="44"/>
    </w:rPr>
  </w:style>
  <w:style w:type="character" w:customStyle="1" w:styleId="11">
    <w:name w:val="Heading 2 Char"/>
    <w:basedOn w:val="8"/>
    <w:link w:val="3"/>
    <w:semiHidden/>
    <w:uiPriority w:val="9"/>
    <w:rPr>
      <w:rFonts w:asciiTheme="majorHAnsi" w:hAnsiTheme="majorHAnsi" w:eastAsiaTheme="majorEastAsia" w:cstheme="majorBidi"/>
      <w:b/>
      <w:bCs/>
      <w:sz w:val="32"/>
      <w:szCs w:val="32"/>
    </w:rPr>
  </w:style>
  <w:style w:type="character" w:customStyle="1" w:styleId="12">
    <w:name w:val="Heading 3 Char"/>
    <w:basedOn w:val="8"/>
    <w:link w:val="4"/>
    <w:semiHidden/>
    <w:uiPriority w:val="9"/>
    <w:rPr>
      <w:b/>
      <w:bCs/>
      <w:sz w:val="32"/>
      <w:szCs w:val="32"/>
    </w:rPr>
  </w:style>
  <w:style w:type="character" w:customStyle="1" w:styleId="13">
    <w:name w:val="Header Char"/>
    <w:basedOn w:val="8"/>
    <w:link w:val="6"/>
    <w:semiHidden/>
    <w:uiPriority w:val="99"/>
    <w:rPr>
      <w:sz w:val="18"/>
      <w:szCs w:val="18"/>
    </w:rPr>
  </w:style>
  <w:style w:type="character" w:customStyle="1" w:styleId="14">
    <w:name w:val="Footer Char"/>
    <w:basedOn w:val="8"/>
    <w:link w:val="5"/>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20</Pages>
  <Words>1350</Words>
  <Characters>7698</Characters>
  <Lines>0</Lines>
  <Paragraphs>0</Paragraphs>
  <TotalTime>1</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2019-06-28T08:46:00Z</dcterms:created>
  <dc:creator>Microsoft</dc:creator>
  <cp:lastModifiedBy>安逸拉</cp:lastModifiedBy>
  <dcterms:modified xsi:type="dcterms:W3CDTF">2020-06-08T02:53:54Z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