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FD" w:rsidRDefault="00A552FB" w:rsidP="00743996">
      <w:pPr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  <w:bookmarkStart w:id="0" w:name="_GoBack"/>
      <w:r>
        <w:rPr>
          <w:rFonts w:hint="eastAsia"/>
          <w:b/>
          <w:bCs/>
          <w:sz w:val="32"/>
          <w:szCs w:val="32"/>
        </w:rPr>
        <w:t>采购需求及技术条款</w:t>
      </w:r>
    </w:p>
    <w:bookmarkEnd w:id="0"/>
    <w:p w:rsidR="003363FD" w:rsidRDefault="003363FD"/>
    <w:p w:rsidR="003363FD" w:rsidRDefault="00A552FB">
      <w:pPr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采购内容</w:t>
      </w:r>
    </w:p>
    <w:p w:rsidR="003363FD" w:rsidRDefault="00A552FB">
      <w:pPr>
        <w:pStyle w:val="3"/>
        <w:autoSpaceDE w:val="0"/>
        <w:autoSpaceDN w:val="0"/>
        <w:adjustRightInd w:val="0"/>
        <w:spacing w:before="360" w:after="120" w:line="300" w:lineRule="auto"/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玻</w:t>
      </w:r>
      <w:proofErr w:type="gramEnd"/>
      <w:r>
        <w:rPr>
          <w:rFonts w:hint="eastAsia"/>
        </w:rPr>
        <w:t>化砖需求</w:t>
      </w:r>
    </w:p>
    <w:tbl>
      <w:tblPr>
        <w:tblW w:w="9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2"/>
        <w:gridCol w:w="792"/>
        <w:gridCol w:w="985"/>
        <w:gridCol w:w="11"/>
        <w:gridCol w:w="778"/>
        <w:gridCol w:w="13"/>
        <w:gridCol w:w="491"/>
        <w:gridCol w:w="6"/>
        <w:gridCol w:w="615"/>
        <w:gridCol w:w="6"/>
        <w:gridCol w:w="774"/>
        <w:gridCol w:w="1200"/>
        <w:gridCol w:w="1455"/>
        <w:gridCol w:w="1650"/>
      </w:tblGrid>
      <w:tr w:rsidR="003363FD">
        <w:trPr>
          <w:trHeight w:val="880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规格（</w:t>
            </w:r>
            <w:proofErr w:type="spellStart"/>
            <w:r>
              <w:rPr>
                <w:rStyle w:val="font21"/>
              </w:rPr>
              <w:t>mm</w:t>
            </w:r>
            <w:r>
              <w:rPr>
                <w:rStyle w:val="font31"/>
              </w:rPr>
              <w:t>×</w:t>
            </w:r>
            <w:r>
              <w:rPr>
                <w:rStyle w:val="font21"/>
              </w:rPr>
              <w:t>mm</w:t>
            </w:r>
            <w:proofErr w:type="spellEnd"/>
            <w:r>
              <w:rPr>
                <w:rStyle w:val="font11"/>
                <w:rFonts w:hint="default"/>
              </w:rPr>
              <w:t>）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税暂估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单价（元/㎡）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税暂估合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价（元）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暂估合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价（元）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使用部位</w:t>
            </w:r>
          </w:p>
        </w:tc>
      </w:tr>
      <w:tr w:rsidR="003363FD">
        <w:trPr>
          <w:trHeight w:val="49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罗马米白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900*900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优等品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150.00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1235700.00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1346913.00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包房、化妆间、食堂地面与墙面、办公区、过道</w:t>
            </w:r>
          </w:p>
        </w:tc>
      </w:tr>
      <w:tr w:rsidR="003363FD">
        <w:trPr>
          <w:trHeight w:val="499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维斯拉灰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0*4</w:t>
            </w: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优等品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122.00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73566.00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80187.00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卫生间蹲坑地面</w:t>
            </w:r>
          </w:p>
        </w:tc>
      </w:tr>
      <w:tr w:rsidR="003363FD">
        <w:trPr>
          <w:trHeight w:val="499"/>
        </w:trPr>
        <w:tc>
          <w:tcPr>
            <w:tcW w:w="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波黄米白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400*800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优等品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1822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122.00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222284.00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242290.00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卫生间墙面</w:t>
            </w:r>
          </w:p>
        </w:tc>
      </w:tr>
      <w:tr w:rsidR="003363FD">
        <w:trPr>
          <w:trHeight w:val="499"/>
        </w:trPr>
        <w:tc>
          <w:tcPr>
            <w:tcW w:w="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800*800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优等品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120.00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23040.00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25114.00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厨房地面</w:t>
            </w:r>
          </w:p>
        </w:tc>
      </w:tr>
      <w:tr w:rsidR="003363FD">
        <w:trPr>
          <w:trHeight w:val="660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浪花白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900*900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优等品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906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150.00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135900.00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148131.00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标准电梯厅墙面、地面</w:t>
            </w:r>
          </w:p>
        </w:tc>
      </w:tr>
      <w:tr w:rsidR="003363FD">
        <w:trPr>
          <w:trHeight w:val="961"/>
        </w:trPr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仿石材灰色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化砖（灰珍珠）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720*900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优等品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187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23749.00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25886.00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厨房、餐厅波打线</w:t>
            </w:r>
          </w:p>
        </w:tc>
      </w:tr>
      <w:tr w:rsidR="003363FD">
        <w:trPr>
          <w:trHeight w:val="1129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150*900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优等品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87600.00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95484.00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过道、电梯厅、卫生间波打线</w:t>
            </w:r>
          </w:p>
        </w:tc>
      </w:tr>
      <w:tr w:rsidR="003363FD">
        <w:trPr>
          <w:trHeight w:val="499"/>
        </w:trPr>
        <w:tc>
          <w:tcPr>
            <w:tcW w:w="48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1801839.00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1964005.00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3363FD" w:rsidRDefault="003363FD"/>
    <w:p w:rsidR="003363FD" w:rsidRDefault="00A552FB">
      <w:pPr>
        <w:pStyle w:val="3"/>
        <w:autoSpaceDE w:val="0"/>
        <w:autoSpaceDN w:val="0"/>
        <w:adjustRightInd w:val="0"/>
        <w:spacing w:before="360" w:after="120" w:line="300" w:lineRule="auto"/>
        <w:jc w:val="left"/>
      </w:pPr>
      <w:bookmarkStart w:id="1" w:name="_Toc8356"/>
      <w:bookmarkStart w:id="2" w:name="_Toc2134"/>
      <w:r>
        <w:rPr>
          <w:rFonts w:hint="eastAsia"/>
        </w:rPr>
        <w:t>2.</w:t>
      </w:r>
      <w:r>
        <w:rPr>
          <w:rFonts w:hint="eastAsia"/>
        </w:rPr>
        <w:t>报价说明</w:t>
      </w:r>
      <w:bookmarkEnd w:id="1"/>
      <w:bookmarkEnd w:id="2"/>
    </w:p>
    <w:p w:rsidR="003363FD" w:rsidRDefault="00A552FB">
      <w:pPr>
        <w:spacing w:before="120"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2.1以上数量仅代表招标人在招标阶段可以确定样品和数量的</w:t>
      </w:r>
      <w:proofErr w:type="gramStart"/>
      <w:r>
        <w:rPr>
          <w:rFonts w:ascii="宋体" w:hAnsi="宋体" w:hint="eastAsia"/>
          <w:sz w:val="24"/>
        </w:rPr>
        <w:t>玻</w:t>
      </w:r>
      <w:proofErr w:type="gramEnd"/>
      <w:r>
        <w:rPr>
          <w:rFonts w:ascii="宋体" w:hAnsi="宋体" w:hint="eastAsia"/>
          <w:sz w:val="24"/>
        </w:rPr>
        <w:t>化砖需求，并不代表招标人所有</w:t>
      </w:r>
      <w:proofErr w:type="gramStart"/>
      <w:r>
        <w:rPr>
          <w:rFonts w:ascii="宋体" w:hAnsi="宋体" w:hint="eastAsia"/>
          <w:sz w:val="24"/>
        </w:rPr>
        <w:t>玻</w:t>
      </w:r>
      <w:proofErr w:type="gramEnd"/>
      <w:r>
        <w:rPr>
          <w:rFonts w:ascii="宋体" w:hAnsi="宋体" w:hint="eastAsia"/>
          <w:sz w:val="24"/>
        </w:rPr>
        <w:t>化砖的需求。</w:t>
      </w:r>
    </w:p>
    <w:p w:rsidR="003363FD" w:rsidRDefault="00A552FB">
      <w:pPr>
        <w:spacing w:before="120"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2.2以上数量和产品类别为暂定，买方有权利根据项目实际需求更改产品种类和数量。</w:t>
      </w:r>
    </w:p>
    <w:p w:rsidR="003363FD" w:rsidRDefault="00A552FB">
      <w:pPr>
        <w:pStyle w:val="2"/>
      </w:pPr>
      <w:r>
        <w:rPr>
          <w:rFonts w:ascii="宋体" w:hAnsi="宋体" w:hint="eastAsia"/>
          <w:sz w:val="24"/>
        </w:rPr>
        <w:lastRenderedPageBreak/>
        <w:t>2.3</w:t>
      </w:r>
      <w:r>
        <w:rPr>
          <w:rFonts w:ascii="宋体" w:hAnsi="宋体" w:hint="eastAsia"/>
          <w:sz w:val="24"/>
        </w:rPr>
        <w:t>报价需对除</w:t>
      </w:r>
      <w:proofErr w:type="gramStart"/>
      <w:r>
        <w:rPr>
          <w:rFonts w:ascii="宋体" w:hAnsi="宋体" w:hint="eastAsia"/>
          <w:sz w:val="24"/>
        </w:rPr>
        <w:t>税单价</w:t>
      </w:r>
      <w:proofErr w:type="gramEnd"/>
      <w:r>
        <w:rPr>
          <w:rFonts w:ascii="宋体" w:hAnsi="宋体" w:hint="eastAsia"/>
          <w:sz w:val="24"/>
        </w:rPr>
        <w:t>和含</w:t>
      </w:r>
      <w:proofErr w:type="gramStart"/>
      <w:r>
        <w:rPr>
          <w:rFonts w:ascii="宋体" w:hAnsi="宋体" w:hint="eastAsia"/>
          <w:sz w:val="24"/>
        </w:rPr>
        <w:t>税单价</w:t>
      </w:r>
      <w:proofErr w:type="gramEnd"/>
      <w:r>
        <w:rPr>
          <w:rFonts w:ascii="宋体" w:hAnsi="宋体" w:hint="eastAsia"/>
          <w:sz w:val="24"/>
        </w:rPr>
        <w:t>分别报价，合价</w:t>
      </w:r>
      <w:proofErr w:type="gramStart"/>
      <w:r>
        <w:rPr>
          <w:rFonts w:ascii="宋体" w:hAnsi="宋体" w:hint="eastAsia"/>
          <w:sz w:val="24"/>
        </w:rPr>
        <w:t>只需报</w:t>
      </w:r>
      <w:proofErr w:type="gramEnd"/>
      <w:r>
        <w:rPr>
          <w:rFonts w:ascii="宋体" w:hAnsi="宋体" w:hint="eastAsia"/>
          <w:sz w:val="24"/>
        </w:rPr>
        <w:t>含税合价，报价应包括加工费及运到场的所有费用；另外对于磨边</w:t>
      </w:r>
      <w:proofErr w:type="gramStart"/>
      <w:r>
        <w:rPr>
          <w:rFonts w:ascii="宋体" w:hAnsi="宋体" w:hint="eastAsia"/>
          <w:sz w:val="24"/>
        </w:rPr>
        <w:t>费用按元</w:t>
      </w:r>
      <w:proofErr w:type="gramEnd"/>
      <w:r>
        <w:rPr>
          <w:rFonts w:ascii="宋体" w:hAnsi="宋体" w:hint="eastAsia"/>
          <w:sz w:val="24"/>
        </w:rPr>
        <w:t>/m</w:t>
      </w:r>
      <w:r>
        <w:rPr>
          <w:rFonts w:ascii="宋体" w:hAnsi="宋体" w:hint="eastAsia"/>
          <w:sz w:val="24"/>
        </w:rPr>
        <w:t>只报单价，如发生工程量据实结算。</w:t>
      </w:r>
    </w:p>
    <w:p w:rsidR="003363FD" w:rsidRDefault="00A552FB">
      <w:pPr>
        <w:spacing w:before="120"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2.3交货地点：</w:t>
      </w:r>
      <w:r>
        <w:rPr>
          <w:rFonts w:ascii="宋体" w:hAnsi="宋体" w:cs="宋体" w:hint="eastAsia"/>
          <w:kern w:val="0"/>
          <w:sz w:val="24"/>
        </w:rPr>
        <w:t>恩施州传媒</w:t>
      </w:r>
      <w:proofErr w:type="gramStart"/>
      <w:r>
        <w:rPr>
          <w:rFonts w:ascii="宋体" w:hAnsi="宋体" w:cs="宋体" w:hint="eastAsia"/>
          <w:kern w:val="0"/>
          <w:sz w:val="24"/>
        </w:rPr>
        <w:t>中心广</w:t>
      </w:r>
      <w:proofErr w:type="gramEnd"/>
      <w:r>
        <w:rPr>
          <w:rFonts w:ascii="宋体" w:hAnsi="宋体" w:cs="宋体" w:hint="eastAsia"/>
          <w:kern w:val="0"/>
          <w:sz w:val="24"/>
        </w:rPr>
        <w:t>电大楼</w:t>
      </w:r>
      <w:r>
        <w:rPr>
          <w:rFonts w:ascii="宋体" w:hAnsi="宋体" w:hint="eastAsia"/>
          <w:sz w:val="24"/>
        </w:rPr>
        <w:t>工地指定位置。</w:t>
      </w:r>
    </w:p>
    <w:p w:rsidR="003363FD" w:rsidRDefault="00A552FB">
      <w:pPr>
        <w:spacing w:before="120"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2.4供货期：成品</w:t>
      </w:r>
      <w:proofErr w:type="gramStart"/>
      <w:r>
        <w:rPr>
          <w:rFonts w:ascii="宋体" w:hAnsi="宋体" w:hint="eastAsia"/>
          <w:sz w:val="24"/>
        </w:rPr>
        <w:t>玻</w:t>
      </w:r>
      <w:proofErr w:type="gramEnd"/>
      <w:r>
        <w:rPr>
          <w:rFonts w:ascii="宋体" w:hAnsi="宋体" w:hint="eastAsia"/>
          <w:sz w:val="24"/>
        </w:rPr>
        <w:t>化砖：</w:t>
      </w:r>
      <w:r>
        <w:rPr>
          <w:rFonts w:ascii="宋体" w:hAnsi="宋体" w:hint="eastAsia"/>
          <w:sz w:val="24"/>
          <w:u w:val="single"/>
        </w:rPr>
        <w:t xml:space="preserve"> 3 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工作日；加工</w:t>
      </w:r>
      <w:proofErr w:type="gramStart"/>
      <w:r>
        <w:rPr>
          <w:rFonts w:ascii="宋体" w:hAnsi="宋体" w:hint="eastAsia"/>
          <w:sz w:val="24"/>
        </w:rPr>
        <w:t>玻</w:t>
      </w:r>
      <w:proofErr w:type="gramEnd"/>
      <w:r>
        <w:rPr>
          <w:rFonts w:ascii="宋体" w:hAnsi="宋体" w:hint="eastAsia"/>
          <w:sz w:val="24"/>
        </w:rPr>
        <w:t>化砖：</w:t>
      </w:r>
      <w:r>
        <w:rPr>
          <w:rFonts w:ascii="宋体" w:hAnsi="宋体" w:hint="eastAsia"/>
          <w:sz w:val="24"/>
          <w:u w:val="single"/>
        </w:rPr>
        <w:t xml:space="preserve"> 5 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工作日；</w:t>
      </w:r>
    </w:p>
    <w:p w:rsidR="003363FD" w:rsidRDefault="00A552FB">
      <w:pPr>
        <w:spacing w:line="288" w:lineRule="auto"/>
        <w:ind w:firstLineChars="275" w:firstLine="663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说明：</w:t>
      </w:r>
      <w:r>
        <w:rPr>
          <w:rFonts w:ascii="宋体" w:hAnsi="宋体" w:hint="eastAsia"/>
          <w:sz w:val="24"/>
        </w:rPr>
        <w:t>招标人要求中标人在</w:t>
      </w:r>
      <w:proofErr w:type="gramStart"/>
      <w:r>
        <w:rPr>
          <w:rFonts w:ascii="宋体" w:hAnsi="宋体" w:hint="eastAsia"/>
          <w:sz w:val="24"/>
        </w:rPr>
        <w:t>玻</w:t>
      </w:r>
      <w:proofErr w:type="gramEnd"/>
      <w:r>
        <w:rPr>
          <w:rFonts w:ascii="宋体" w:hAnsi="宋体" w:hint="eastAsia"/>
          <w:sz w:val="24"/>
        </w:rPr>
        <w:t>化</w:t>
      </w:r>
      <w:proofErr w:type="gramStart"/>
      <w:r>
        <w:rPr>
          <w:rFonts w:ascii="宋体" w:hAnsi="宋体" w:hint="eastAsia"/>
          <w:sz w:val="24"/>
        </w:rPr>
        <w:t>砖使用</w:t>
      </w:r>
      <w:proofErr w:type="gramEnd"/>
      <w:r>
        <w:rPr>
          <w:rFonts w:ascii="宋体" w:hAnsi="宋体" w:hint="eastAsia"/>
          <w:sz w:val="24"/>
        </w:rPr>
        <w:t>3天前将所有的</w:t>
      </w:r>
      <w:proofErr w:type="gramStart"/>
      <w:r>
        <w:rPr>
          <w:rFonts w:ascii="宋体" w:hAnsi="宋体" w:hint="eastAsia"/>
          <w:sz w:val="24"/>
        </w:rPr>
        <w:t>玻</w:t>
      </w:r>
      <w:proofErr w:type="gramEnd"/>
      <w:r>
        <w:rPr>
          <w:rFonts w:ascii="宋体" w:hAnsi="宋体" w:hint="eastAsia"/>
          <w:sz w:val="24"/>
        </w:rPr>
        <w:t>化砖备货到本地仓库，后期根据招标人工地现场需求分批到货。</w:t>
      </w:r>
    </w:p>
    <w:p w:rsidR="003363FD" w:rsidRDefault="00A552FB">
      <w:pPr>
        <w:pStyle w:val="2"/>
      </w:pPr>
      <w:r>
        <w:rPr>
          <w:rFonts w:ascii="宋体" w:hAnsi="宋体" w:hint="eastAsia"/>
          <w:sz w:val="24"/>
        </w:rPr>
        <w:t xml:space="preserve">2.5 </w:t>
      </w:r>
      <w:r>
        <w:rPr>
          <w:rFonts w:ascii="宋体" w:hAnsi="宋体" w:hint="eastAsia"/>
          <w:color w:val="000000"/>
          <w:sz w:val="24"/>
        </w:rPr>
        <w:t>本次采购代理服务费按计价格</w:t>
      </w:r>
      <w:r>
        <w:rPr>
          <w:rFonts w:ascii="宋体" w:hAnsi="宋体" w:hint="eastAsia"/>
          <w:color w:val="000000"/>
          <w:sz w:val="24"/>
        </w:rPr>
        <w:t>[2002]1980</w:t>
      </w:r>
      <w:r>
        <w:rPr>
          <w:rFonts w:ascii="宋体" w:hAnsi="宋体" w:hint="eastAsia"/>
          <w:color w:val="000000"/>
          <w:sz w:val="24"/>
        </w:rPr>
        <w:t>号文件标准的</w:t>
      </w:r>
      <w:r>
        <w:rPr>
          <w:rFonts w:ascii="宋体" w:hAnsi="宋体" w:hint="eastAsia"/>
          <w:color w:val="000000"/>
          <w:sz w:val="24"/>
        </w:rPr>
        <w:t>50%</w:t>
      </w:r>
      <w:r>
        <w:rPr>
          <w:rFonts w:ascii="宋体" w:hAnsi="宋体" w:hint="eastAsia"/>
          <w:color w:val="000000"/>
          <w:sz w:val="24"/>
        </w:rPr>
        <w:t>计取（</w:t>
      </w:r>
      <w:r>
        <w:rPr>
          <w:rFonts w:ascii="宋体" w:hAnsi="宋体" w:hint="eastAsia"/>
          <w:color w:val="000000"/>
          <w:sz w:val="24"/>
        </w:rPr>
        <w:t>12800</w:t>
      </w:r>
      <w:r>
        <w:rPr>
          <w:rFonts w:ascii="宋体" w:hAnsi="宋体" w:hint="eastAsia"/>
          <w:color w:val="000000"/>
          <w:sz w:val="24"/>
        </w:rPr>
        <w:t>元），由中标人承担，在领取中标通知书时向招标代理机构一次性缴纳。</w:t>
      </w:r>
    </w:p>
    <w:p w:rsidR="003363FD" w:rsidRDefault="003363FD"/>
    <w:p w:rsidR="003363FD" w:rsidRDefault="00A552FB">
      <w:pPr>
        <w:pStyle w:val="3"/>
        <w:autoSpaceDE w:val="0"/>
        <w:autoSpaceDN w:val="0"/>
        <w:adjustRightInd w:val="0"/>
        <w:spacing w:before="360" w:after="120" w:line="300" w:lineRule="auto"/>
        <w:jc w:val="left"/>
      </w:pPr>
      <w:r>
        <w:rPr>
          <w:rFonts w:hint="eastAsia"/>
        </w:rPr>
        <w:t>二、技术规范</w:t>
      </w:r>
    </w:p>
    <w:p w:rsidR="003363FD" w:rsidRDefault="00A552FB">
      <w:pPr>
        <w:pStyle w:val="3"/>
        <w:numPr>
          <w:ilvl w:val="0"/>
          <w:numId w:val="4"/>
        </w:numPr>
        <w:autoSpaceDE w:val="0"/>
        <w:autoSpaceDN w:val="0"/>
        <w:adjustRightInd w:val="0"/>
        <w:spacing w:before="360" w:after="120" w:line="300" w:lineRule="auto"/>
        <w:jc w:val="left"/>
      </w:pPr>
      <w:bookmarkStart w:id="3" w:name="_Toc28561"/>
      <w:bookmarkStart w:id="4" w:name="_Toc17188"/>
      <w:r>
        <w:rPr>
          <w:rFonts w:hint="eastAsia"/>
        </w:rPr>
        <w:t>总则</w:t>
      </w:r>
      <w:bookmarkEnd w:id="3"/>
      <w:bookmarkEnd w:id="4"/>
    </w:p>
    <w:p w:rsidR="003363FD" w:rsidRDefault="00A552FB">
      <w:pPr>
        <w:numPr>
          <w:ilvl w:val="1"/>
          <w:numId w:val="4"/>
        </w:numPr>
        <w:spacing w:before="120"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本技术要求适用于恩施州传媒</w:t>
      </w:r>
      <w:proofErr w:type="gramStart"/>
      <w:r>
        <w:rPr>
          <w:rFonts w:ascii="宋体" w:hAnsi="宋体" w:hint="eastAsia"/>
          <w:sz w:val="24"/>
        </w:rPr>
        <w:t>中心广</w:t>
      </w:r>
      <w:proofErr w:type="gramEnd"/>
      <w:r>
        <w:rPr>
          <w:rFonts w:ascii="宋体" w:hAnsi="宋体" w:hint="eastAsia"/>
          <w:sz w:val="24"/>
        </w:rPr>
        <w:t>电大楼维修改造项目工作用房内部装修工程</w:t>
      </w:r>
      <w:proofErr w:type="gramStart"/>
      <w:r>
        <w:rPr>
          <w:rFonts w:ascii="宋体" w:hAnsi="宋体" w:hint="eastAsia"/>
          <w:sz w:val="24"/>
        </w:rPr>
        <w:t>玻</w:t>
      </w:r>
      <w:proofErr w:type="gramEnd"/>
      <w:r>
        <w:rPr>
          <w:rFonts w:ascii="宋体" w:hAnsi="宋体" w:hint="eastAsia"/>
          <w:sz w:val="24"/>
        </w:rPr>
        <w:t>化砖的制造、包装运输、质量验收、竣工验收的技术要求。</w:t>
      </w:r>
    </w:p>
    <w:p w:rsidR="003363FD" w:rsidRDefault="00A552FB">
      <w:pPr>
        <w:numPr>
          <w:ilvl w:val="1"/>
          <w:numId w:val="4"/>
        </w:numPr>
        <w:spacing w:before="120"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本技术要求提出的是最低限度的技术要求，并未对一切技术细节</w:t>
      </w:r>
      <w:proofErr w:type="gramStart"/>
      <w:r>
        <w:rPr>
          <w:rFonts w:ascii="宋体" w:hAnsi="宋体" w:hint="eastAsia"/>
          <w:sz w:val="24"/>
        </w:rPr>
        <w:t>作出</w:t>
      </w:r>
      <w:proofErr w:type="gramEnd"/>
      <w:r>
        <w:rPr>
          <w:rFonts w:ascii="宋体" w:hAnsi="宋体" w:hint="eastAsia"/>
          <w:sz w:val="24"/>
        </w:rPr>
        <w:t>规定。也未充分引述有关标准和规范条文，卖方保证提供符合本技术规范书和国家（行业）标准的合格产品。</w:t>
      </w:r>
    </w:p>
    <w:p w:rsidR="003363FD" w:rsidRDefault="00A552FB">
      <w:pPr>
        <w:numPr>
          <w:ilvl w:val="1"/>
          <w:numId w:val="4"/>
        </w:numPr>
        <w:spacing w:before="120" w:line="30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t>本规范书作为订货合同的技术条件，经双方确认后与合同具有同等效力。</w:t>
      </w:r>
    </w:p>
    <w:p w:rsidR="003363FD" w:rsidRDefault="00A552FB">
      <w:pPr>
        <w:pStyle w:val="3"/>
        <w:numPr>
          <w:ilvl w:val="0"/>
          <w:numId w:val="4"/>
        </w:numPr>
        <w:autoSpaceDE w:val="0"/>
        <w:autoSpaceDN w:val="0"/>
        <w:adjustRightInd w:val="0"/>
        <w:spacing w:before="360" w:after="120" w:line="240" w:lineRule="auto"/>
        <w:jc w:val="left"/>
        <w:rPr>
          <w:rFonts w:ascii="宋体" w:hAnsi="宋体"/>
          <w:sz w:val="24"/>
          <w:szCs w:val="24"/>
        </w:rPr>
      </w:pPr>
      <w:bookmarkStart w:id="5" w:name="_Toc27841"/>
      <w:bookmarkStart w:id="6" w:name="_Toc29354"/>
      <w:r>
        <w:rPr>
          <w:rFonts w:hint="eastAsia"/>
        </w:rPr>
        <w:t>规范标准</w:t>
      </w:r>
      <w:bookmarkEnd w:id="5"/>
      <w:bookmarkEnd w:id="6"/>
    </w:p>
    <w:p w:rsidR="003363FD" w:rsidRDefault="00A552FB">
      <w:pPr>
        <w:spacing w:before="120" w:line="300" w:lineRule="auto"/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供方所提供的瓷砖的全部技术性能均须达到并优于国家标准。国家有关标准如下，但不限于此：</w:t>
      </w:r>
    </w:p>
    <w:p w:rsidR="003363FD" w:rsidRDefault="00A552FB">
      <w:pPr>
        <w:spacing w:before="120" w:line="300" w:lineRule="auto"/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《陶瓷砖中华人民共和国国家标准》GB/T 4100-2015附录G</w:t>
      </w:r>
    </w:p>
    <w:p w:rsidR="003363FD" w:rsidRDefault="00A552FB">
      <w:pPr>
        <w:spacing w:before="120" w:line="30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《建筑材料放射性核素限量》（GB6566-2010）标准中A类装饰装修材料的要求。</w:t>
      </w:r>
    </w:p>
    <w:p w:rsidR="003363FD" w:rsidRDefault="003363FD">
      <w:pPr>
        <w:spacing w:before="120" w:line="300" w:lineRule="auto"/>
        <w:ind w:firstLineChars="150" w:firstLine="360"/>
        <w:rPr>
          <w:rFonts w:ascii="宋体" w:hAnsi="宋体"/>
          <w:sz w:val="24"/>
        </w:rPr>
      </w:pPr>
    </w:p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870"/>
        <w:gridCol w:w="505"/>
        <w:gridCol w:w="520"/>
        <w:gridCol w:w="268"/>
        <w:gridCol w:w="282"/>
        <w:gridCol w:w="1198"/>
        <w:gridCol w:w="1322"/>
        <w:gridCol w:w="274"/>
        <w:gridCol w:w="2256"/>
        <w:gridCol w:w="290"/>
      </w:tblGrid>
      <w:tr w:rsidR="003363FD">
        <w:trPr>
          <w:trHeight w:val="93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hint="eastAsia"/>
              </w:rPr>
              <w:t>检测项目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r>
              <w:rPr>
                <w:rFonts w:hint="eastAsia"/>
              </w:rPr>
              <w:t>标准（</w:t>
            </w:r>
            <w:r>
              <w:rPr>
                <w:rFonts w:hint="eastAsia"/>
              </w:rPr>
              <w:t>N</w:t>
            </w:r>
            <w:r>
              <w:rPr>
                <w:rFonts w:ascii="Arial" w:hAnsi="Arial" w:cs="Arial"/>
              </w:rPr>
              <w:t>≥</w:t>
            </w:r>
            <w:r>
              <w:rPr>
                <w:rFonts w:hint="eastAsia"/>
              </w:rPr>
              <w:t>150mm</w:t>
            </w:r>
            <w:r>
              <w:rPr>
                <w:rFonts w:hint="eastAsia"/>
              </w:rPr>
              <w:t>，抛光砖）</w:t>
            </w:r>
          </w:p>
        </w:tc>
      </w:tr>
      <w:tr w:rsidR="003363FD">
        <w:trPr>
          <w:trHeight w:val="804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hint="eastAsia"/>
              </w:rPr>
              <w:t>尺寸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200" w:firstLine="420"/>
              <w:jc w:val="left"/>
            </w:pPr>
          </w:p>
          <w:p w:rsidR="003363FD" w:rsidRDefault="00A552FB">
            <w:pPr>
              <w:jc w:val="left"/>
            </w:pPr>
            <w:r>
              <w:rPr>
                <w:rFonts w:hint="eastAsia"/>
              </w:rPr>
              <w:t>边长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FD" w:rsidRDefault="00A552FB">
            <w:r>
              <w:rPr>
                <w:rFonts w:hint="eastAsia"/>
              </w:rPr>
              <w:t>每块砖的平均尺寸相对于工作尺寸的允许偏差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 w:hint="eastAsia"/>
              </w:rPr>
              <w:t>最大值</w:t>
            </w:r>
            <w:r>
              <w:rPr>
                <w:rFonts w:ascii="宋体" w:hAnsi="宋体" w:cs="宋体" w:hint="eastAsia"/>
              </w:rPr>
              <w:t>±1.0mm</w:t>
            </w:r>
          </w:p>
        </w:tc>
      </w:tr>
      <w:tr w:rsidR="003363FD">
        <w:trPr>
          <w:trHeight w:val="737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100" w:firstLine="210"/>
              <w:jc w:val="center"/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100" w:firstLine="210"/>
              <w:jc w:val="center"/>
            </w:pP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厚度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r>
              <w:rPr>
                <w:rFonts w:hint="eastAsia"/>
              </w:rPr>
              <w:t>每块砖厚度的平均值相对于工作尺寸厚度的允许偏差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宋体" w:hAnsi="宋体" w:cs="宋体" w:hint="eastAsia"/>
              </w:rPr>
              <w:t>±5%</w:t>
            </w:r>
          </w:p>
        </w:tc>
      </w:tr>
      <w:tr w:rsidR="003363FD">
        <w:trPr>
          <w:trHeight w:val="669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100" w:firstLine="210"/>
              <w:jc w:val="center"/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100" w:firstLine="210"/>
              <w:jc w:val="center"/>
            </w:pPr>
          </w:p>
        </w:tc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200" w:firstLine="420"/>
              <w:jc w:val="left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FD" w:rsidRDefault="003363FD">
            <w:pPr>
              <w:ind w:firstLineChars="200" w:firstLine="420"/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最大值</w:t>
            </w:r>
            <w:r>
              <w:rPr>
                <w:rFonts w:ascii="宋体" w:hAnsi="宋体" w:cs="宋体" w:hint="eastAsia"/>
              </w:rPr>
              <w:t>±0.5mm</w:t>
            </w:r>
          </w:p>
        </w:tc>
      </w:tr>
      <w:tr w:rsidR="003363FD">
        <w:trPr>
          <w:trHeight w:val="716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100" w:firstLine="210"/>
              <w:jc w:val="center"/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100" w:firstLine="210"/>
              <w:jc w:val="center"/>
            </w:pP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边直度（正面）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r>
              <w:rPr>
                <w:rFonts w:hint="eastAsia"/>
              </w:rPr>
              <w:t>相对于工作尺寸的最大允许偏差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±0.2%</w:t>
            </w:r>
          </w:p>
        </w:tc>
      </w:tr>
      <w:tr w:rsidR="003363FD">
        <w:trPr>
          <w:trHeight w:val="716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100" w:firstLine="210"/>
              <w:jc w:val="center"/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100" w:firstLine="210"/>
              <w:jc w:val="center"/>
            </w:pPr>
          </w:p>
        </w:tc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200" w:firstLine="420"/>
              <w:jc w:val="left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FD" w:rsidRDefault="003363FD"/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宋体" w:hAnsi="宋体" w:cs="宋体"/>
              </w:rPr>
            </w:pPr>
            <w:r>
              <w:rPr>
                <w:rFonts w:ascii="Calibri" w:hAnsi="Calibri" w:cs="Calibri" w:hint="eastAsia"/>
              </w:rPr>
              <w:t>最大值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宋体" w:hAnsi="宋体" w:cs="宋体" w:hint="eastAsia"/>
              </w:rPr>
              <w:t>0.5mm</w:t>
            </w:r>
          </w:p>
        </w:tc>
      </w:tr>
      <w:tr w:rsidR="003363FD">
        <w:trPr>
          <w:trHeight w:val="716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100" w:firstLine="210"/>
              <w:jc w:val="center"/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100" w:firstLine="210"/>
              <w:jc w:val="center"/>
            </w:pP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直角度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r>
              <w:rPr>
                <w:rFonts w:hint="eastAsia"/>
              </w:rPr>
              <w:t>相对于工作尺寸的最大的允许偏差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宋体" w:hAnsi="宋体" w:cs="宋体" w:hint="eastAsia"/>
              </w:rPr>
              <w:t>±0.2%</w:t>
            </w:r>
          </w:p>
        </w:tc>
      </w:tr>
      <w:tr w:rsidR="003363FD">
        <w:trPr>
          <w:trHeight w:val="716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100" w:firstLine="210"/>
              <w:jc w:val="center"/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100" w:firstLine="210"/>
              <w:jc w:val="center"/>
            </w:pPr>
          </w:p>
        </w:tc>
        <w:tc>
          <w:tcPr>
            <w:tcW w:w="1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200" w:firstLine="420"/>
              <w:jc w:val="left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/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最大值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 w:hint="eastAsia"/>
              </w:rPr>
              <w:t>2.0mm</w:t>
            </w:r>
          </w:p>
        </w:tc>
      </w:tr>
      <w:tr w:rsidR="003363FD">
        <w:trPr>
          <w:trHeight w:val="716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100" w:firstLine="210"/>
              <w:jc w:val="center"/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ind w:firstLineChars="100" w:firstLine="210"/>
              <w:jc w:val="center"/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表面平整度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凸</w:t>
            </w:r>
            <w:proofErr w:type="gramEnd"/>
            <w:r>
              <w:rPr>
                <w:rFonts w:hint="eastAsia"/>
              </w:rPr>
              <w:t>、下凹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宋体" w:hAnsi="宋体" w:cs="宋体" w:hint="eastAsia"/>
              </w:rPr>
              <w:t>±0.15%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 w:hint="eastAsia"/>
              </w:rPr>
              <w:t>最大值</w:t>
            </w: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 w:hint="eastAsia"/>
              </w:rPr>
              <w:t>2.0</w:t>
            </w:r>
          </w:p>
        </w:tc>
      </w:tr>
      <w:tr w:rsidR="003363FD">
        <w:trPr>
          <w:trHeight w:val="117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表面质量</w:t>
            </w:r>
            <w:r>
              <w:rPr>
                <w:rFonts w:hint="eastAsia"/>
              </w:rPr>
              <w:t xml:space="preserve">                    %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r>
              <w:rPr>
                <w:rFonts w:hint="eastAsia"/>
              </w:rPr>
              <w:t>至少砖的</w:t>
            </w:r>
            <w:r>
              <w:rPr>
                <w:rFonts w:hint="eastAsia"/>
              </w:rPr>
              <w:t>95%</w:t>
            </w:r>
            <w:r>
              <w:rPr>
                <w:rFonts w:hint="eastAsia"/>
              </w:rPr>
              <w:t>的主要区域无明显缺陷</w:t>
            </w:r>
          </w:p>
        </w:tc>
      </w:tr>
      <w:tr w:rsidR="003363FD">
        <w:trPr>
          <w:trHeight w:val="93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r>
              <w:rPr>
                <w:rFonts w:hint="eastAsia"/>
              </w:rPr>
              <w:t>吸水率（质量分数）</w:t>
            </w:r>
            <w:r>
              <w:rPr>
                <w:rFonts w:hint="eastAsia"/>
              </w:rPr>
              <w:t xml:space="preserve">   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平均值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 w:hint="eastAsia"/>
              </w:rPr>
              <w:t>0.5</w:t>
            </w:r>
          </w:p>
        </w:tc>
      </w:tr>
      <w:tr w:rsidR="003363FD">
        <w:trPr>
          <w:trHeight w:val="93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jc w:val="center"/>
            </w:pPr>
          </w:p>
        </w:tc>
        <w:tc>
          <w:tcPr>
            <w:tcW w:w="36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单个值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 w:hint="eastAsia"/>
              </w:rPr>
              <w:t>0.6</w:t>
            </w:r>
          </w:p>
        </w:tc>
      </w:tr>
      <w:tr w:rsidR="003363FD">
        <w:trPr>
          <w:trHeight w:val="93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破坏强度</w:t>
            </w:r>
            <w:r>
              <w:rPr>
                <w:rFonts w:hint="eastAsia"/>
              </w:rPr>
              <w:t xml:space="preserve">           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厚度</w:t>
            </w:r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7.5mm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1300</w:t>
            </w:r>
          </w:p>
        </w:tc>
      </w:tr>
      <w:tr w:rsidR="003363FD">
        <w:trPr>
          <w:trHeight w:val="93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断裂模数</w:t>
            </w:r>
            <w:r>
              <w:rPr>
                <w:rFonts w:hint="eastAsia"/>
              </w:rPr>
              <w:t>[N/mm2(MPa)]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平均值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35</w:t>
            </w:r>
          </w:p>
        </w:tc>
      </w:tr>
      <w:tr w:rsidR="003363FD">
        <w:trPr>
          <w:trHeight w:val="93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jc w:val="center"/>
            </w:pPr>
          </w:p>
        </w:tc>
        <w:tc>
          <w:tcPr>
            <w:tcW w:w="36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单个值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32</w:t>
            </w:r>
          </w:p>
        </w:tc>
      </w:tr>
      <w:tr w:rsidR="003363FD">
        <w:trPr>
          <w:trHeight w:val="93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hint="eastAsia"/>
              </w:rPr>
              <w:t>耐磨性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无釉地砖耐磨损体积</w:t>
            </w:r>
            <w:r>
              <w:rPr>
                <w:rFonts w:hint="eastAsia"/>
              </w:rPr>
              <w:t>mm3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 w:hint="eastAsia"/>
              </w:rPr>
              <w:t>175</w:t>
            </w:r>
          </w:p>
        </w:tc>
      </w:tr>
      <w:tr w:rsidR="003363FD">
        <w:trPr>
          <w:trHeight w:val="93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jc w:val="center"/>
            </w:pPr>
          </w:p>
        </w:tc>
        <w:tc>
          <w:tcPr>
            <w:tcW w:w="1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jc w:val="center"/>
            </w:pP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有釉地砖表面耐磨性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报告陶瓷砖耐磨性级别和转数</w:t>
            </w:r>
          </w:p>
        </w:tc>
      </w:tr>
      <w:tr w:rsidR="003363FD">
        <w:trPr>
          <w:trHeight w:val="95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地砖摩擦系数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单个值</w:t>
            </w:r>
            <w:r>
              <w:rPr>
                <w:rFonts w:ascii="Arial" w:hAnsi="Arial" w:cs="Arial"/>
              </w:rPr>
              <w:t>≥</w:t>
            </w:r>
            <w:r>
              <w:rPr>
                <w:rFonts w:ascii="Arial" w:hAnsi="Arial" w:cs="Arial" w:hint="eastAsia"/>
              </w:rPr>
              <w:t>0.50</w:t>
            </w:r>
          </w:p>
        </w:tc>
      </w:tr>
      <w:tr w:rsidR="003363FD">
        <w:trPr>
          <w:trHeight w:val="95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hint="eastAsia"/>
              </w:rPr>
              <w:t>抗化学腐蚀性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proofErr w:type="gramStart"/>
            <w:r>
              <w:rPr>
                <w:rFonts w:hint="eastAsia"/>
              </w:rPr>
              <w:t>耐家庭</w:t>
            </w:r>
            <w:proofErr w:type="gramEnd"/>
            <w:r>
              <w:rPr>
                <w:rFonts w:hint="eastAsia"/>
              </w:rPr>
              <w:t>化学试剂和游泳池盐类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不低于</w:t>
            </w:r>
            <w:r>
              <w:rPr>
                <w:rFonts w:ascii="Arial" w:hAnsi="Arial" w:cs="Arial" w:hint="eastAsia"/>
              </w:rPr>
              <w:t>UB</w:t>
            </w:r>
            <w:r>
              <w:rPr>
                <w:rFonts w:ascii="Arial" w:hAnsi="Arial" w:cs="Arial" w:hint="eastAsia"/>
              </w:rPr>
              <w:t>级</w:t>
            </w:r>
          </w:p>
        </w:tc>
      </w:tr>
      <w:tr w:rsidR="003363FD">
        <w:trPr>
          <w:trHeight w:val="65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放射性核素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内照射指数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 w:hint="eastAsia"/>
              </w:rPr>
              <w:t>类同时符合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 w:hint="eastAsia"/>
              </w:rPr>
              <w:t>1.0</w:t>
            </w:r>
          </w:p>
        </w:tc>
      </w:tr>
      <w:tr w:rsidR="003363FD">
        <w:trPr>
          <w:trHeight w:val="105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jc w:val="center"/>
            </w:pPr>
          </w:p>
        </w:tc>
        <w:tc>
          <w:tcPr>
            <w:tcW w:w="36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jc w:val="left"/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外照射指数</w:t>
            </w: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3363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>
              <w:rPr>
                <w:rFonts w:ascii="Arial" w:hAnsi="Arial" w:cs="Arial" w:hint="eastAsia"/>
              </w:rPr>
              <w:t>1.3</w:t>
            </w:r>
          </w:p>
        </w:tc>
      </w:tr>
      <w:tr w:rsidR="003363FD">
        <w:trPr>
          <w:trHeight w:val="49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left"/>
            </w:pPr>
            <w:r>
              <w:rPr>
                <w:rFonts w:hint="eastAsia"/>
              </w:rPr>
              <w:t>标志和说明</w:t>
            </w:r>
          </w:p>
        </w:tc>
        <w:tc>
          <w:tcPr>
            <w:tcW w:w="5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FD" w:rsidRDefault="00A552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应符合标准中的要求</w:t>
            </w:r>
          </w:p>
        </w:tc>
      </w:tr>
    </w:tbl>
    <w:p w:rsidR="003363FD" w:rsidRDefault="00A552FB">
      <w:pPr>
        <w:pStyle w:val="3"/>
        <w:numPr>
          <w:ilvl w:val="0"/>
          <w:numId w:val="4"/>
        </w:numPr>
        <w:autoSpaceDE w:val="0"/>
        <w:autoSpaceDN w:val="0"/>
        <w:adjustRightInd w:val="0"/>
        <w:spacing w:before="360" w:after="120" w:line="240" w:lineRule="auto"/>
        <w:jc w:val="left"/>
        <w:rPr>
          <w:rFonts w:ascii="宋体" w:hAnsi="宋体"/>
          <w:sz w:val="24"/>
          <w:szCs w:val="24"/>
        </w:rPr>
      </w:pPr>
      <w:bookmarkStart w:id="7" w:name="_Toc17341"/>
      <w:bookmarkStart w:id="8" w:name="_Toc658"/>
      <w:r>
        <w:rPr>
          <w:rFonts w:hint="eastAsia"/>
        </w:rPr>
        <w:t>技术要求</w:t>
      </w:r>
      <w:bookmarkEnd w:id="7"/>
      <w:bookmarkEnd w:id="8"/>
    </w:p>
    <w:p w:rsidR="003363FD" w:rsidRDefault="00A552FB">
      <w:pPr>
        <w:numPr>
          <w:ilvl w:val="1"/>
          <w:numId w:val="4"/>
        </w:numPr>
        <w:spacing w:before="120"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材料、材料试验</w:t>
      </w:r>
    </w:p>
    <w:p w:rsidR="003363FD" w:rsidRDefault="00A552FB">
      <w:pPr>
        <w:spacing w:before="120" w:line="300" w:lineRule="auto"/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（1）货品质量、工艺、规格等技术参数必须达到需方要求；</w:t>
      </w:r>
    </w:p>
    <w:p w:rsidR="003363FD" w:rsidRDefault="00A552FB">
      <w:pPr>
        <w:spacing w:before="120" w:line="300" w:lineRule="auto"/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（2）满足</w:t>
      </w:r>
      <w:proofErr w:type="gramStart"/>
      <w:r>
        <w:rPr>
          <w:rFonts w:ascii="宋体" w:hAnsi="宋体" w:hint="eastAsia"/>
          <w:sz w:val="24"/>
        </w:rPr>
        <w:t>玻</w:t>
      </w:r>
      <w:proofErr w:type="gramEnd"/>
      <w:r>
        <w:rPr>
          <w:rFonts w:ascii="宋体" w:hAnsi="宋体" w:hint="eastAsia"/>
          <w:sz w:val="24"/>
        </w:rPr>
        <w:t>化</w:t>
      </w:r>
      <w:proofErr w:type="gramStart"/>
      <w:r>
        <w:rPr>
          <w:rFonts w:ascii="宋体" w:hAnsi="宋体" w:hint="eastAsia"/>
          <w:sz w:val="24"/>
        </w:rPr>
        <w:t>砖技术</w:t>
      </w:r>
      <w:proofErr w:type="gramEnd"/>
      <w:r>
        <w:rPr>
          <w:rFonts w:ascii="宋体" w:hAnsi="宋体" w:hint="eastAsia"/>
          <w:sz w:val="24"/>
        </w:rPr>
        <w:t>标准要求；</w:t>
      </w:r>
    </w:p>
    <w:p w:rsidR="003363FD" w:rsidRDefault="00A552FB" w:rsidP="00A04076">
      <w:pPr>
        <w:spacing w:before="120" w:line="300" w:lineRule="auto"/>
        <w:ind w:leftChars="171" w:left="359" w:firstLineChars="2" w:firstLine="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（3）供方必须按规定提供全部完整无损、全新的产品；</w:t>
      </w:r>
    </w:p>
    <w:p w:rsidR="003363FD" w:rsidRDefault="00A552FB" w:rsidP="00A04076">
      <w:pPr>
        <w:spacing w:before="120" w:line="300" w:lineRule="auto"/>
        <w:ind w:leftChars="171" w:left="359" w:firstLineChars="2" w:firstLine="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（4）供方交货时应保证包装完整。否则，需方有权不予收货。</w:t>
      </w:r>
    </w:p>
    <w:p w:rsidR="003363FD" w:rsidRDefault="00A552FB">
      <w:pPr>
        <w:pStyle w:val="3"/>
        <w:numPr>
          <w:ilvl w:val="0"/>
          <w:numId w:val="4"/>
        </w:numPr>
        <w:autoSpaceDE w:val="0"/>
        <w:autoSpaceDN w:val="0"/>
        <w:adjustRightInd w:val="0"/>
        <w:spacing w:before="360" w:after="120" w:line="300" w:lineRule="auto"/>
        <w:jc w:val="left"/>
        <w:rPr>
          <w:rFonts w:ascii="宋体" w:hAnsi="宋体"/>
          <w:sz w:val="24"/>
          <w:szCs w:val="24"/>
        </w:rPr>
      </w:pPr>
      <w:bookmarkStart w:id="9" w:name="_Toc26717"/>
      <w:bookmarkStart w:id="10" w:name="_Toc529"/>
      <w:r>
        <w:rPr>
          <w:rFonts w:hint="eastAsia"/>
        </w:rPr>
        <w:t>质量保证和试验</w:t>
      </w:r>
      <w:bookmarkEnd w:id="9"/>
      <w:bookmarkEnd w:id="10"/>
    </w:p>
    <w:p w:rsidR="003363FD" w:rsidRDefault="00A552FB">
      <w:pPr>
        <w:numPr>
          <w:ilvl w:val="1"/>
          <w:numId w:val="4"/>
        </w:numPr>
        <w:spacing w:before="120"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质量保证</w:t>
      </w:r>
    </w:p>
    <w:p w:rsidR="003363FD" w:rsidRDefault="00A552FB">
      <w:pPr>
        <w:spacing w:before="120" w:line="300" w:lineRule="auto"/>
        <w:ind w:firstLineChars="198" w:firstLine="47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（1）产品的设计制造和验收应遵照国家的有关规定和标准，并满足本技术规范的要求。</w:t>
      </w:r>
    </w:p>
    <w:p w:rsidR="003363FD" w:rsidRDefault="00A552FB">
      <w:pPr>
        <w:spacing w:before="120" w:line="300" w:lineRule="auto"/>
        <w:ind w:firstLineChars="198" w:firstLine="47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（2）卖方有责任向买方提供全部材料证明书和工厂试验数据及</w:t>
      </w:r>
      <w:proofErr w:type="gramStart"/>
      <w:r>
        <w:rPr>
          <w:rFonts w:ascii="宋体" w:hAnsi="宋体" w:hint="eastAsia"/>
          <w:sz w:val="24"/>
        </w:rPr>
        <w:t>玻</w:t>
      </w:r>
      <w:proofErr w:type="gramEnd"/>
      <w:r>
        <w:rPr>
          <w:rFonts w:ascii="宋体" w:hAnsi="宋体" w:hint="eastAsia"/>
          <w:sz w:val="24"/>
        </w:rPr>
        <w:t>化砖的质量检验合格证，并保证通过竣工验收备案。</w:t>
      </w:r>
    </w:p>
    <w:p w:rsidR="003363FD" w:rsidRDefault="00A552FB">
      <w:pPr>
        <w:spacing w:before="120" w:line="300" w:lineRule="auto"/>
        <w:ind w:firstLineChars="198" w:firstLine="47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（3）卖方应有不小于二年保质期承诺，并需留结算金额3%的质保金（质保金期限2年，不计利息）。</w:t>
      </w:r>
    </w:p>
    <w:p w:rsidR="003363FD" w:rsidRDefault="00A552FB">
      <w:pPr>
        <w:pStyle w:val="3"/>
        <w:numPr>
          <w:ilvl w:val="0"/>
          <w:numId w:val="4"/>
        </w:numPr>
        <w:autoSpaceDE w:val="0"/>
        <w:autoSpaceDN w:val="0"/>
        <w:adjustRightInd w:val="0"/>
        <w:spacing w:before="360" w:after="120" w:line="300" w:lineRule="auto"/>
        <w:jc w:val="left"/>
        <w:rPr>
          <w:rFonts w:ascii="宋体" w:hAnsi="宋体"/>
          <w:sz w:val="24"/>
          <w:szCs w:val="24"/>
        </w:rPr>
      </w:pPr>
      <w:bookmarkStart w:id="11" w:name="_Toc32291"/>
      <w:bookmarkStart w:id="12" w:name="_Toc5611"/>
      <w:r>
        <w:rPr>
          <w:rFonts w:hint="eastAsia"/>
        </w:rPr>
        <w:lastRenderedPageBreak/>
        <w:t>技术服务</w:t>
      </w:r>
      <w:bookmarkEnd w:id="11"/>
      <w:bookmarkEnd w:id="12"/>
    </w:p>
    <w:p w:rsidR="003363FD" w:rsidRDefault="00A552FB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卖方应提供中文版的产品样本和产品技术性能条件说明书。</w:t>
      </w:r>
    </w:p>
    <w:p w:rsidR="003363FD" w:rsidRDefault="00A552FB">
      <w:pPr>
        <w:pStyle w:val="3"/>
        <w:autoSpaceDE w:val="0"/>
        <w:autoSpaceDN w:val="0"/>
        <w:adjustRightInd w:val="0"/>
        <w:spacing w:before="360" w:after="120" w:line="300" w:lineRule="auto"/>
        <w:jc w:val="left"/>
      </w:pPr>
      <w:r>
        <w:rPr>
          <w:rFonts w:hint="eastAsia"/>
        </w:rPr>
        <w:t>三、报价表参考格式</w:t>
      </w:r>
    </w:p>
    <w:tbl>
      <w:tblPr>
        <w:tblW w:w="9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792"/>
        <w:gridCol w:w="985"/>
        <w:gridCol w:w="789"/>
        <w:gridCol w:w="510"/>
        <w:gridCol w:w="615"/>
        <w:gridCol w:w="960"/>
        <w:gridCol w:w="1020"/>
        <w:gridCol w:w="1455"/>
        <w:gridCol w:w="1650"/>
      </w:tblGrid>
      <w:tr w:rsidR="003363FD">
        <w:trPr>
          <w:trHeight w:val="88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规格（</w:t>
            </w:r>
            <w:proofErr w:type="spellStart"/>
            <w:r>
              <w:rPr>
                <w:rStyle w:val="font21"/>
              </w:rPr>
              <w:t>mm</w:t>
            </w:r>
            <w:r>
              <w:rPr>
                <w:rStyle w:val="font31"/>
              </w:rPr>
              <w:t>×</w:t>
            </w:r>
            <w:r>
              <w:rPr>
                <w:rStyle w:val="font21"/>
              </w:rPr>
              <w:t>mm</w:t>
            </w:r>
            <w:proofErr w:type="spellEnd"/>
            <w:r>
              <w:rPr>
                <w:rStyle w:val="font11"/>
                <w:rFonts w:hint="default"/>
              </w:rPr>
              <w:t>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级别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除税单价（元/㎡）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含税单价（元/㎡）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含税合价（元）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使用部位</w:t>
            </w:r>
          </w:p>
        </w:tc>
      </w:tr>
      <w:tr w:rsidR="003363FD">
        <w:trPr>
          <w:trHeight w:val="49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罗马米白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900*900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优等品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包房、化妆间、食堂地面与墙面、办公区、过道</w:t>
            </w:r>
          </w:p>
        </w:tc>
      </w:tr>
      <w:tr w:rsidR="003363FD">
        <w:trPr>
          <w:trHeight w:val="49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维斯拉灰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0*4</w:t>
            </w: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优等品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卫生间蹲坑地面</w:t>
            </w:r>
          </w:p>
        </w:tc>
      </w:tr>
      <w:tr w:rsidR="003363FD">
        <w:trPr>
          <w:trHeight w:val="499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波黄米白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400*800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优等品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1822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卫生间墙面</w:t>
            </w:r>
          </w:p>
        </w:tc>
      </w:tr>
      <w:tr w:rsidR="003363FD">
        <w:trPr>
          <w:trHeight w:val="499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800*800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优等品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厨房地面</w:t>
            </w:r>
          </w:p>
        </w:tc>
      </w:tr>
      <w:tr w:rsidR="003363FD">
        <w:trPr>
          <w:trHeight w:val="66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浪花白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900*900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优等品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906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标准电梯厅墙面、地面</w:t>
            </w:r>
          </w:p>
        </w:tc>
      </w:tr>
      <w:tr w:rsidR="003363FD">
        <w:trPr>
          <w:trHeight w:val="1117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仿石材灰色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化砖（灰珍珠）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>720*900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优等品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厨房、餐厅波打线</w:t>
            </w:r>
          </w:p>
        </w:tc>
      </w:tr>
      <w:tr w:rsidR="003363FD">
        <w:trPr>
          <w:trHeight w:val="715"/>
        </w:trPr>
        <w:tc>
          <w:tcPr>
            <w:tcW w:w="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150*900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优等品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eastAsia="Tahoma" w:hAnsi="Tahoma" w:cs="Tahoma" w:hint="eastAsia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过道、电梯厅、卫生间波打线</w:t>
            </w:r>
          </w:p>
        </w:tc>
      </w:tr>
      <w:tr w:rsidR="003363FD">
        <w:trPr>
          <w:trHeight w:val="499"/>
        </w:trPr>
        <w:tc>
          <w:tcPr>
            <w:tcW w:w="5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3363FD">
        <w:trPr>
          <w:trHeight w:val="499"/>
        </w:trPr>
        <w:tc>
          <w:tcPr>
            <w:tcW w:w="5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A55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磨边加工费（元/m）</w:t>
            </w:r>
          </w:p>
        </w:tc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63FD" w:rsidRDefault="003363FD">
            <w:pP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3363FD" w:rsidRDefault="003363FD"/>
    <w:sectPr w:rsidR="003363FD" w:rsidSect="00336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EF" w:rsidRDefault="007037EF" w:rsidP="00A04076">
      <w:r>
        <w:separator/>
      </w:r>
    </w:p>
  </w:endnote>
  <w:endnote w:type="continuationSeparator" w:id="0">
    <w:p w:rsidR="007037EF" w:rsidRDefault="007037EF" w:rsidP="00A0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EF" w:rsidRDefault="007037EF" w:rsidP="00A04076">
      <w:r>
        <w:separator/>
      </w:r>
    </w:p>
  </w:footnote>
  <w:footnote w:type="continuationSeparator" w:id="0">
    <w:p w:rsidR="007037EF" w:rsidRDefault="007037EF" w:rsidP="00A0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EFF067"/>
    <w:multiLevelType w:val="singleLevel"/>
    <w:tmpl w:val="EFEFF0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left" w:pos="680"/>
        </w:tabs>
        <w:ind w:left="680" w:hanging="68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left" w:pos="1304"/>
        </w:tabs>
        <w:ind w:left="1304" w:hanging="62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ascii="宋体" w:eastAsia="宋体" w:hAnsi="宋体" w:hint="eastAsia"/>
      </w:rPr>
    </w:lvl>
  </w:abstractNum>
  <w:abstractNum w:abstractNumId="2">
    <w:nsid w:val="1ABBF886"/>
    <w:multiLevelType w:val="singleLevel"/>
    <w:tmpl w:val="1ABBF886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E067835"/>
    <w:multiLevelType w:val="singleLevel"/>
    <w:tmpl w:val="6E067835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D06CB"/>
    <w:rsid w:val="003363FD"/>
    <w:rsid w:val="007037EF"/>
    <w:rsid w:val="00743996"/>
    <w:rsid w:val="00A04076"/>
    <w:rsid w:val="00A552FB"/>
    <w:rsid w:val="00B30E74"/>
    <w:rsid w:val="00B326CB"/>
    <w:rsid w:val="00FF6FD1"/>
    <w:rsid w:val="07DD06CB"/>
    <w:rsid w:val="08BF3640"/>
    <w:rsid w:val="09D55522"/>
    <w:rsid w:val="10C80BCC"/>
    <w:rsid w:val="1AFF5D6D"/>
    <w:rsid w:val="1C063063"/>
    <w:rsid w:val="1F401F98"/>
    <w:rsid w:val="24433D40"/>
    <w:rsid w:val="2A6D43AB"/>
    <w:rsid w:val="35DE4B83"/>
    <w:rsid w:val="3F411F61"/>
    <w:rsid w:val="408F7AEC"/>
    <w:rsid w:val="43024CD6"/>
    <w:rsid w:val="45C71A7A"/>
    <w:rsid w:val="515B013A"/>
    <w:rsid w:val="5413002D"/>
    <w:rsid w:val="56B03EAE"/>
    <w:rsid w:val="66B77197"/>
    <w:rsid w:val="7B95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363F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363FD"/>
    <w:pPr>
      <w:keepNext/>
      <w:keepLines/>
      <w:spacing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363FD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363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qFormat/>
    <w:rsid w:val="003363FD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3363FD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3363FD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A04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4076"/>
    <w:rPr>
      <w:kern w:val="2"/>
      <w:sz w:val="18"/>
      <w:szCs w:val="18"/>
    </w:rPr>
  </w:style>
  <w:style w:type="paragraph" w:styleId="a5">
    <w:name w:val="footer"/>
    <w:basedOn w:val="a"/>
    <w:link w:val="Char0"/>
    <w:rsid w:val="00A04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40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363F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363FD"/>
    <w:pPr>
      <w:keepNext/>
      <w:keepLines/>
      <w:spacing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363FD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363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basedOn w:val="a0"/>
    <w:qFormat/>
    <w:rsid w:val="003363FD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3363FD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3363FD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A04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4076"/>
    <w:rPr>
      <w:kern w:val="2"/>
      <w:sz w:val="18"/>
      <w:szCs w:val="18"/>
    </w:rPr>
  </w:style>
  <w:style w:type="paragraph" w:styleId="a5">
    <w:name w:val="footer"/>
    <w:basedOn w:val="a"/>
    <w:link w:val="Char0"/>
    <w:rsid w:val="00A04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40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2121</Characters>
  <Application>Microsoft Office Word</Application>
  <DocSecurity>0</DocSecurity>
  <Lines>17</Lines>
  <Paragraphs>4</Paragraphs>
  <ScaleCrop>false</ScaleCrop>
  <Company>Sky123.Org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2019-05-08T09:30:00Z</dcterms:created>
  <dcterms:modified xsi:type="dcterms:W3CDTF">2019-05-08T09:30:00Z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