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9FB1" w14:textId="77777777" w:rsidR="00A81E40" w:rsidRDefault="00063EDF">
      <w:pPr>
        <w:spacing w:line="560" w:lineRule="exact"/>
        <w:ind w:left="840" w:hanging="840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楷体" w:eastAsia="楷体" w:hAnsi="楷体" w:cs="宋体"/>
          <w:b/>
          <w:color w:val="000000"/>
          <w:kern w:val="0"/>
          <w:sz w:val="28"/>
          <w:szCs w:val="28"/>
        </w:rPr>
        <w:t>3</w:t>
      </w:r>
    </w:p>
    <w:p w14:paraId="60F51E7E" w14:textId="77777777" w:rsidR="00A81E40" w:rsidRDefault="00063EDF">
      <w:pPr>
        <w:tabs>
          <w:tab w:val="right" w:pos="8730"/>
        </w:tabs>
        <w:spacing w:line="5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中国新闻奖参评作品推荐表</w:t>
      </w:r>
    </w:p>
    <w:p w14:paraId="369FB5C5" w14:textId="77777777" w:rsidR="00A81E40" w:rsidRDefault="00063EDF">
      <w:pPr>
        <w:tabs>
          <w:tab w:val="right" w:pos="8730"/>
        </w:tabs>
        <w:spacing w:line="560" w:lineRule="exact"/>
        <w:jc w:val="center"/>
        <w:rPr>
          <w:rFonts w:ascii="华文中宋" w:eastAsia="华文中宋" w:hAnsi="华文中宋" w:cs="华文中宋"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/>
          <w:sz w:val="28"/>
          <w:szCs w:val="28"/>
        </w:rPr>
        <w:t>(</w:t>
      </w:r>
      <w:r>
        <w:rPr>
          <w:rFonts w:ascii="华文中宋" w:eastAsia="华文中宋" w:hAnsi="华文中宋" w:cs="华文中宋" w:hint="eastAsia"/>
          <w:color w:val="000000"/>
          <w:sz w:val="28"/>
          <w:szCs w:val="28"/>
        </w:rPr>
        <w:t>音视频新闻访谈、新闻直播和广播电视新闻编排</w:t>
      </w:r>
      <w:r>
        <w:rPr>
          <w:rFonts w:ascii="华文中宋" w:eastAsia="华文中宋" w:hAnsi="华文中宋" w:cs="华文中宋" w:hint="eastAsia"/>
          <w:color w:val="000000"/>
          <w:sz w:val="28"/>
          <w:szCs w:val="28"/>
        </w:rPr>
        <w:t>)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11"/>
        <w:gridCol w:w="179"/>
        <w:gridCol w:w="718"/>
        <w:gridCol w:w="729"/>
        <w:gridCol w:w="719"/>
        <w:gridCol w:w="792"/>
        <w:gridCol w:w="76"/>
        <w:gridCol w:w="874"/>
        <w:gridCol w:w="499"/>
        <w:gridCol w:w="227"/>
        <w:gridCol w:w="892"/>
        <w:gridCol w:w="2306"/>
      </w:tblGrid>
      <w:tr w:rsidR="00A81E40" w14:paraId="6AE096BF" w14:textId="77777777" w:rsidTr="00063EDF">
        <w:trPr>
          <w:trHeight w:hRule="exact" w:val="742"/>
          <w:jc w:val="center"/>
        </w:trPr>
        <w:tc>
          <w:tcPr>
            <w:tcW w:w="2097" w:type="dxa"/>
            <w:gridSpan w:val="4"/>
            <w:vMerge w:val="restart"/>
            <w:vAlign w:val="center"/>
          </w:tcPr>
          <w:p w14:paraId="280D12EC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3190" w:type="dxa"/>
            <w:gridSpan w:val="5"/>
            <w:vMerge w:val="restart"/>
            <w:vAlign w:val="center"/>
          </w:tcPr>
          <w:p w14:paraId="189B9EBC" w14:textId="77777777" w:rsidR="00A81E40" w:rsidRDefault="00063EDF">
            <w:pPr>
              <w:pStyle w:val="TableParagraph"/>
              <w:kinsoku w:val="0"/>
              <w:overflowPunct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2"/>
                <w:sz w:val="28"/>
                <w:szCs w:val="28"/>
              </w:rPr>
              <w:t>万里长江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2"/>
                <w:sz w:val="28"/>
                <w:szCs w:val="28"/>
              </w:rPr>
              <w:t>“峡”客行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kern w:val="2"/>
                <w:sz w:val="28"/>
                <w:szCs w:val="28"/>
              </w:rPr>
              <w:t>——“巍巍三峡”媒体行</w:t>
            </w:r>
          </w:p>
          <w:p w14:paraId="25255236" w14:textId="77777777" w:rsidR="00A81E40" w:rsidRDefault="00063EDF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系列直播</w:t>
            </w:r>
          </w:p>
        </w:tc>
        <w:tc>
          <w:tcPr>
            <w:tcW w:w="1618" w:type="dxa"/>
            <w:gridSpan w:val="3"/>
            <w:vAlign w:val="center"/>
          </w:tcPr>
          <w:p w14:paraId="23CFB923" w14:textId="77777777" w:rsidR="00A81E40" w:rsidRDefault="00063ED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306" w:type="dxa"/>
            <w:vAlign w:val="center"/>
          </w:tcPr>
          <w:p w14:paraId="72FE2D2F" w14:textId="77777777" w:rsidR="00A81E40" w:rsidRDefault="00063EDF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音视频</w:t>
            </w:r>
          </w:p>
          <w:p w14:paraId="1C184A21" w14:textId="77777777" w:rsidR="00A81E40" w:rsidRDefault="00063EDF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新闻直播</w:t>
            </w:r>
          </w:p>
        </w:tc>
      </w:tr>
      <w:tr w:rsidR="00A81E40" w14:paraId="34ACB37E" w14:textId="77777777" w:rsidTr="00063EDF">
        <w:trPr>
          <w:trHeight w:hRule="exact" w:val="568"/>
          <w:jc w:val="center"/>
        </w:trPr>
        <w:tc>
          <w:tcPr>
            <w:tcW w:w="2097" w:type="dxa"/>
            <w:gridSpan w:val="4"/>
            <w:vMerge/>
            <w:vAlign w:val="center"/>
          </w:tcPr>
          <w:p w14:paraId="45041785" w14:textId="77777777" w:rsidR="00A81E40" w:rsidRDefault="00A81E40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5"/>
            <w:vMerge/>
            <w:vAlign w:val="center"/>
          </w:tcPr>
          <w:p w14:paraId="49072627" w14:textId="77777777" w:rsidR="00A81E40" w:rsidRDefault="00A81E40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324F8208" w14:textId="77777777" w:rsidR="00A81E40" w:rsidRDefault="00063ED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306" w:type="dxa"/>
            <w:vAlign w:val="center"/>
          </w:tcPr>
          <w:p w14:paraId="2F3C3AE8" w14:textId="466A5BBF" w:rsidR="00A81E40" w:rsidRDefault="00A81E40">
            <w:pPr>
              <w:spacing w:line="240" w:lineRule="exact"/>
              <w:jc w:val="lef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</w:tr>
      <w:tr w:rsidR="00A81E40" w14:paraId="409D887E" w14:textId="77777777" w:rsidTr="00063EDF">
        <w:trPr>
          <w:trHeight w:hRule="exact" w:val="562"/>
          <w:jc w:val="center"/>
        </w:trPr>
        <w:tc>
          <w:tcPr>
            <w:tcW w:w="2097" w:type="dxa"/>
            <w:gridSpan w:val="4"/>
            <w:vMerge/>
            <w:vAlign w:val="center"/>
          </w:tcPr>
          <w:p w14:paraId="606EC11D" w14:textId="77777777" w:rsidR="00A81E40" w:rsidRDefault="00A81E40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5"/>
            <w:vMerge/>
            <w:vAlign w:val="center"/>
          </w:tcPr>
          <w:p w14:paraId="13F3554C" w14:textId="77777777" w:rsidR="00A81E40" w:rsidRDefault="00A81E40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791BFD54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306" w:type="dxa"/>
            <w:vAlign w:val="center"/>
          </w:tcPr>
          <w:p w14:paraId="41D26C9D" w14:textId="3212C279" w:rsidR="00A81E40" w:rsidRDefault="00063EDF" w:rsidP="00063EDF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中文</w:t>
            </w:r>
          </w:p>
        </w:tc>
      </w:tr>
      <w:tr w:rsidR="00A81E40" w14:paraId="60404837" w14:textId="77777777">
        <w:trPr>
          <w:trHeight w:hRule="exact" w:val="886"/>
          <w:jc w:val="center"/>
        </w:trPr>
        <w:tc>
          <w:tcPr>
            <w:tcW w:w="2097" w:type="dxa"/>
            <w:gridSpan w:val="4"/>
            <w:vAlign w:val="center"/>
          </w:tcPr>
          <w:p w14:paraId="768A3238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作者</w:t>
            </w:r>
          </w:p>
          <w:p w14:paraId="2EB5967D" w14:textId="77777777" w:rsidR="00A81E40" w:rsidRDefault="00063ED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3190" w:type="dxa"/>
            <w:gridSpan w:val="5"/>
            <w:vAlign w:val="center"/>
          </w:tcPr>
          <w:p w14:paraId="075B14E7" w14:textId="77777777" w:rsidR="00A81E40" w:rsidRDefault="00063EDF">
            <w:pPr>
              <w:pStyle w:val="1"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马丽、梅媚、周瑞骐、</w:t>
            </w:r>
          </w:p>
          <w:p w14:paraId="4C3D8D14" w14:textId="77777777" w:rsidR="00A81E40" w:rsidRDefault="00063EDF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程俊峰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、张奥希、成雨静</w:t>
            </w:r>
          </w:p>
        </w:tc>
        <w:tc>
          <w:tcPr>
            <w:tcW w:w="1618" w:type="dxa"/>
            <w:gridSpan w:val="3"/>
            <w:vAlign w:val="center"/>
          </w:tcPr>
          <w:p w14:paraId="705A03B7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306" w:type="dxa"/>
            <w:vAlign w:val="center"/>
          </w:tcPr>
          <w:p w14:paraId="484D8050" w14:textId="77777777" w:rsidR="00A81E40" w:rsidRDefault="00063EDF" w:rsidP="00063EDF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马丽、张奥希、梅媚</w:t>
            </w:r>
          </w:p>
        </w:tc>
      </w:tr>
      <w:tr w:rsidR="00A81E40" w14:paraId="0274D334" w14:textId="77777777">
        <w:trPr>
          <w:trHeight w:val="535"/>
          <w:jc w:val="center"/>
        </w:trPr>
        <w:tc>
          <w:tcPr>
            <w:tcW w:w="2097" w:type="dxa"/>
            <w:gridSpan w:val="4"/>
            <w:vAlign w:val="center"/>
          </w:tcPr>
          <w:p w14:paraId="1D1F46F1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190" w:type="dxa"/>
            <w:gridSpan w:val="5"/>
            <w:vAlign w:val="center"/>
          </w:tcPr>
          <w:p w14:paraId="53F140AD" w14:textId="77777777" w:rsidR="00A81E40" w:rsidRDefault="00063EDF">
            <w:pPr>
              <w:spacing w:line="360" w:lineRule="exact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湖北长江云新媒体集团</w:t>
            </w:r>
          </w:p>
        </w:tc>
        <w:tc>
          <w:tcPr>
            <w:tcW w:w="1618" w:type="dxa"/>
            <w:gridSpan w:val="3"/>
            <w:vAlign w:val="center"/>
          </w:tcPr>
          <w:p w14:paraId="694AFE5E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刊播单位</w:t>
            </w:r>
          </w:p>
        </w:tc>
        <w:tc>
          <w:tcPr>
            <w:tcW w:w="2306" w:type="dxa"/>
            <w:vAlign w:val="center"/>
          </w:tcPr>
          <w:p w14:paraId="7D0D4DF6" w14:textId="77777777" w:rsidR="00A81E40" w:rsidRDefault="00063EDF" w:rsidP="00063ED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1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长江云客户端</w:t>
            </w:r>
          </w:p>
        </w:tc>
      </w:tr>
      <w:tr w:rsidR="00A81E40" w14:paraId="6C0EBA8C" w14:textId="77777777">
        <w:trPr>
          <w:trHeight w:val="674"/>
          <w:jc w:val="center"/>
        </w:trPr>
        <w:tc>
          <w:tcPr>
            <w:tcW w:w="2097" w:type="dxa"/>
            <w:gridSpan w:val="4"/>
            <w:vAlign w:val="center"/>
          </w:tcPr>
          <w:p w14:paraId="56D716AE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刊播频率频道</w:t>
            </w:r>
          </w:p>
        </w:tc>
        <w:tc>
          <w:tcPr>
            <w:tcW w:w="3190" w:type="dxa"/>
            <w:gridSpan w:val="5"/>
            <w:vAlign w:val="center"/>
          </w:tcPr>
          <w:p w14:paraId="148DF22C" w14:textId="59C558DC" w:rsidR="00A81E40" w:rsidRDefault="00A81E40">
            <w:pPr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24904E1D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刊播日期</w:t>
            </w:r>
          </w:p>
        </w:tc>
        <w:tc>
          <w:tcPr>
            <w:tcW w:w="2306" w:type="dxa"/>
            <w:vAlign w:val="center"/>
          </w:tcPr>
          <w:p w14:paraId="4F1176FD" w14:textId="77777777" w:rsidR="00A81E40" w:rsidRDefault="00063EDF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</w:p>
        </w:tc>
      </w:tr>
      <w:tr w:rsidR="00A81E40" w14:paraId="75B58610" w14:textId="77777777" w:rsidTr="00063EDF">
        <w:trPr>
          <w:trHeight w:hRule="exact" w:val="1098"/>
          <w:jc w:val="center"/>
        </w:trPr>
        <w:tc>
          <w:tcPr>
            <w:tcW w:w="2097" w:type="dxa"/>
            <w:gridSpan w:val="4"/>
            <w:vAlign w:val="center"/>
          </w:tcPr>
          <w:p w14:paraId="0C17899E" w14:textId="77777777" w:rsidR="00A81E40" w:rsidRDefault="00063EDF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新媒体作品</w:t>
            </w:r>
          </w:p>
          <w:p w14:paraId="7E073681" w14:textId="77777777" w:rsidR="00A81E40" w:rsidRDefault="00063EDF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填报网址</w:t>
            </w:r>
          </w:p>
        </w:tc>
        <w:tc>
          <w:tcPr>
            <w:tcW w:w="7114" w:type="dxa"/>
            <w:gridSpan w:val="9"/>
            <w:vAlign w:val="center"/>
          </w:tcPr>
          <w:p w14:paraId="53977D7A" w14:textId="570B51BF" w:rsidR="00A81E40" w:rsidRDefault="00063EDF" w:rsidP="00063EDF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84BFB0E" wp14:editId="79000F78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-1270</wp:posOffset>
                  </wp:positionV>
                  <wp:extent cx="666115" cy="577215"/>
                  <wp:effectExtent l="0" t="0" r="635" b="0"/>
                  <wp:wrapTight wrapText="bothSides">
                    <wp:wrapPolygon edited="0">
                      <wp:start x="0" y="0"/>
                      <wp:lineTo x="0" y="20673"/>
                      <wp:lineTo x="21003" y="20673"/>
                      <wp:lineTo x="21003" y="0"/>
                      <wp:lineTo x="0" y="0"/>
                    </wp:wrapPolygon>
                  </wp:wrapTight>
                  <wp:docPr id="1" name="图片 1" descr="154318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4318453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8" w:tgtFrame="https://wx.qq.com/_blank" w:history="1">
              <w:r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https://m.hbtv.com.cn/p/2207341.html</w:t>
              </w:r>
            </w:hyperlink>
          </w:p>
        </w:tc>
      </w:tr>
      <w:tr w:rsidR="00A81E40" w14:paraId="1F322B14" w14:textId="77777777" w:rsidTr="00063EDF">
        <w:trPr>
          <w:trHeight w:hRule="exact" w:val="6811"/>
          <w:jc w:val="center"/>
        </w:trPr>
        <w:tc>
          <w:tcPr>
            <w:tcW w:w="989" w:type="dxa"/>
            <w:vAlign w:val="center"/>
          </w:tcPr>
          <w:p w14:paraId="4FE4FE5C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︵</w:t>
            </w:r>
          </w:p>
          <w:p w14:paraId="1EFEF4A7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作采</w:t>
            </w:r>
          </w:p>
          <w:p w14:paraId="35FC6D5B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品编</w:t>
            </w:r>
          </w:p>
          <w:p w14:paraId="2FFC08DD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简过</w:t>
            </w:r>
          </w:p>
          <w:p w14:paraId="72ECC0BA" w14:textId="77777777" w:rsidR="00A81E40" w:rsidRDefault="00063EDF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sz w:val="28"/>
              </w:rPr>
              <w:t>程</w:t>
            </w:r>
          </w:p>
          <w:p w14:paraId="7FAA937B" w14:textId="77777777" w:rsidR="00A81E40" w:rsidRDefault="00063EDF">
            <w:pPr>
              <w:spacing w:line="3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︶</w:t>
            </w:r>
          </w:p>
        </w:tc>
        <w:tc>
          <w:tcPr>
            <w:tcW w:w="8222" w:type="dxa"/>
            <w:gridSpan w:val="12"/>
            <w:vAlign w:val="center"/>
          </w:tcPr>
          <w:p w14:paraId="4DE8D5E3" w14:textId="77777777" w:rsidR="00A81E40" w:rsidRDefault="00063EDF">
            <w:pPr>
              <w:spacing w:line="360" w:lineRule="exact"/>
              <w:ind w:firstLineChars="200" w:firstLine="562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习近平总书记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强调，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三峡工程是改革开放以来我国发展的重要标志，是凝聚中华民族伟大精神的国之重器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月，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中央网信办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和湖北省委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网信办指导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下，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“巍巍三峡”网络主题活动在湖北宜昌展开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。长江云聚焦该重大主题，策划了“巍巍三峡”系列直播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。</w:t>
            </w:r>
          </w:p>
          <w:p w14:paraId="78623735" w14:textId="77777777" w:rsidR="00A81E40" w:rsidRDefault="00063EDF">
            <w:pPr>
              <w:numPr>
                <w:ilvl w:val="0"/>
                <w:numId w:val="1"/>
              </w:numPr>
              <w:spacing w:line="360" w:lineRule="exact"/>
              <w:ind w:firstLineChars="200" w:firstLine="562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聚焦重大主题，平台联动策划。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长江云充分发挥省市县三级平台联动优势，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联动云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上宜昌、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云上夷陵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、云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上公安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策划推出了《万里长江“峡”客行》、《“冲”呀！幸福生活“绣”出来》、《超甜！“萄”气值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分！》等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场系列直播。</w:t>
            </w:r>
          </w:p>
          <w:p w14:paraId="6B9132A5" w14:textId="2A20BAD8" w:rsidR="00063EDF" w:rsidRPr="00063EDF" w:rsidRDefault="00063EDF" w:rsidP="00063EDF">
            <w:pPr>
              <w:spacing w:line="360" w:lineRule="exact"/>
              <w:ind w:firstLineChars="200" w:firstLine="562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二、沉浸式、体验式采访，生动展现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三峡工程和长江大保护重大成效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。首场直播《万里长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江“峡”客行》探访世界最大的水利工程——三峡工程，介绍了三峡工程在建成以后发挥的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水资源利用、发电、航运、生态环境保护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等综合效益。为展现三峡工程建成后，贯彻落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实习近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平总书记关于长江大保护重要指示精神，</w:t>
            </w:r>
            <w:r w:rsidRPr="00063ED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直播聚焦三峡坝区对特有、珍稀、濒危植物的研究保护工作，通过镜头展现难得一见的荷叶铁线蕨、珙桐等长江珍稀濒危植物。直播还探访了中华</w:t>
            </w:r>
            <w:proofErr w:type="gramStart"/>
            <w:r w:rsidRPr="00063ED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鲟</w:t>
            </w:r>
            <w:proofErr w:type="gramEnd"/>
            <w:r w:rsidRPr="00063ED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研究所，介绍超500万尾“水中国宝”——中华</w:t>
            </w:r>
            <w:proofErr w:type="gramStart"/>
            <w:r w:rsidRPr="00063ED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鲟</w:t>
            </w:r>
            <w:proofErr w:type="gramEnd"/>
            <w:r w:rsidRPr="00063ED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放流长江背后的故事。这些珍稀动植物回归大自然正是长江大保护综合效益的有力印证。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直播聚焦三峡坝区对特有、珍稀、</w:t>
            </w:r>
          </w:p>
          <w:p w14:paraId="6AECF2F9" w14:textId="3C50C4C0" w:rsidR="00A81E40" w:rsidRPr="00063EDF" w:rsidRDefault="00A81E40">
            <w:pPr>
              <w:spacing w:line="360" w:lineRule="exact"/>
              <w:ind w:firstLineChars="200" w:firstLine="562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81E40" w14:paraId="1D58DA4B" w14:textId="77777777" w:rsidTr="00063EDF">
        <w:trPr>
          <w:trHeight w:hRule="exact" w:val="2987"/>
          <w:jc w:val="center"/>
        </w:trPr>
        <w:tc>
          <w:tcPr>
            <w:tcW w:w="989" w:type="dxa"/>
            <w:vAlign w:val="center"/>
          </w:tcPr>
          <w:p w14:paraId="62AB520A" w14:textId="77777777" w:rsidR="00A81E40" w:rsidRDefault="00A81E40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</w:tc>
        <w:tc>
          <w:tcPr>
            <w:tcW w:w="8222" w:type="dxa"/>
            <w:gridSpan w:val="12"/>
            <w:vAlign w:val="center"/>
          </w:tcPr>
          <w:p w14:paraId="6177372D" w14:textId="443115DE" w:rsidR="00A81E40" w:rsidRDefault="00063EDF" w:rsidP="00063EDF"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濒危植物的研究保护工作，通过镜头展现难得一见的荷叶铁线蕨、珙桐等长江珍稀濒危植物。直播还探访了中华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鲟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研究所，介绍超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万尾“水中国宝”——中华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鲟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放流长江背后的故事。这些珍稀动植物回归大自然正是长江大保护综合效益的有力印证。</w:t>
            </w:r>
          </w:p>
          <w:p w14:paraId="702D851F" w14:textId="125E5852" w:rsidR="00A81E40" w:rsidRPr="00063EDF" w:rsidRDefault="00063EDF" w:rsidP="00063EDF">
            <w:pPr>
              <w:spacing w:line="360" w:lineRule="exact"/>
              <w:ind w:firstLineChars="200" w:firstLine="562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、点面结合，立体化传播。该作品通过一个个鲜活的人物故事，串起湖北省多年来关于三峡工程在发电、航运、生态等方面的有力做法和重大成果。直播通过中央、省、市、县、商业等五级媒体平台进行立体化传播，刷屏网络。</w:t>
            </w:r>
          </w:p>
        </w:tc>
      </w:tr>
      <w:tr w:rsidR="00A81E40" w14:paraId="4A1B91F9" w14:textId="77777777" w:rsidTr="00063EDF">
        <w:trPr>
          <w:trHeight w:hRule="exact" w:val="3687"/>
          <w:jc w:val="center"/>
        </w:trPr>
        <w:tc>
          <w:tcPr>
            <w:tcW w:w="989" w:type="dxa"/>
            <w:vAlign w:val="center"/>
          </w:tcPr>
          <w:p w14:paraId="74BB359A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社</w:t>
            </w:r>
          </w:p>
          <w:p w14:paraId="4D04444A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会</w:t>
            </w:r>
          </w:p>
          <w:p w14:paraId="37BCA1BA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  <w:proofErr w:type="gramEnd"/>
          </w:p>
          <w:p w14:paraId="5A95240D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8222" w:type="dxa"/>
            <w:gridSpan w:val="12"/>
            <w:vAlign w:val="center"/>
          </w:tcPr>
          <w:p w14:paraId="2694EB81" w14:textId="77777777" w:rsidR="00A81E40" w:rsidRDefault="00063EDF" w:rsidP="00063EDF">
            <w:pPr>
              <w:pStyle w:val="a3"/>
              <w:snapToGrid w:val="0"/>
              <w:spacing w:before="0" w:beforeAutospacing="0" w:after="0" w:afterAutospacing="0" w:line="3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“巍巍三峡”媒体行系列直播获选湖北省广播电视局“我们的新时代”——湖北省主题原创网络视听作品创作展播大赛最佳作品、湖北省</w:t>
            </w:r>
            <w:r>
              <w:rPr>
                <w:rFonts w:hint="eastAsia"/>
                <w:b/>
                <w:bCs/>
                <w:sz w:val="28"/>
                <w:szCs w:val="28"/>
              </w:rPr>
              <w:t>2022</w:t>
            </w:r>
            <w:r>
              <w:rPr>
                <w:rFonts w:hint="eastAsia"/>
                <w:b/>
                <w:bCs/>
                <w:sz w:val="28"/>
                <w:szCs w:val="28"/>
              </w:rPr>
              <w:t>年第三季度“网络宣传好作品奖”。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</w:p>
          <w:p w14:paraId="3A1B731A" w14:textId="77777777" w:rsidR="00A81E40" w:rsidRDefault="00063EDF" w:rsidP="00063EDF">
            <w:pPr>
              <w:pStyle w:val="a3"/>
              <w:snapToGrid w:val="0"/>
              <w:spacing w:before="0" w:beforeAutospacing="0" w:after="0" w:afterAutospacing="0" w:line="360" w:lineRule="exact"/>
              <w:ind w:firstLineChars="200" w:firstLine="562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该系列直播聚焦三峡工程的综合效益、生态保护和移民幸福生活等方面的重大成就，展现各地深入贯彻落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实习近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平总书记关于长江大保护的重要指示精神。该系列直播获得了中国网、湖北发布、上游新闻、大江新闻、长江网、荆州发布等数十家大</w:t>
            </w:r>
            <w:r>
              <w:rPr>
                <w:rFonts w:hint="eastAsia"/>
                <w:b/>
                <w:bCs/>
                <w:sz w:val="28"/>
                <w:szCs w:val="28"/>
              </w:rPr>
              <w:t>V</w:t>
            </w:r>
            <w:r>
              <w:rPr>
                <w:rFonts w:hint="eastAsia"/>
                <w:b/>
                <w:bCs/>
                <w:sz w:val="28"/>
                <w:szCs w:val="28"/>
              </w:rPr>
              <w:t>媒体的转载和推送，全网累计观看量超</w:t>
            </w:r>
            <w:r>
              <w:rPr>
                <w:rFonts w:hint="eastAsia"/>
                <w:b/>
                <w:bCs/>
                <w:sz w:val="28"/>
                <w:szCs w:val="28"/>
              </w:rPr>
              <w:t>3000</w:t>
            </w:r>
            <w:r>
              <w:rPr>
                <w:rFonts w:hint="eastAsia"/>
                <w:b/>
                <w:bCs/>
                <w:sz w:val="28"/>
                <w:szCs w:val="28"/>
              </w:rPr>
              <w:t>万人次，使本次活动形成了既有深度、又有广度的传播效果，为中国共产党第二十次全国代表大</w:t>
            </w:r>
            <w:r>
              <w:rPr>
                <w:rFonts w:hint="eastAsia"/>
                <w:b/>
                <w:bCs/>
                <w:sz w:val="28"/>
                <w:szCs w:val="28"/>
              </w:rPr>
              <w:t>会胜利召开营造良好网络舆论氛围。</w:t>
            </w:r>
          </w:p>
        </w:tc>
      </w:tr>
      <w:tr w:rsidR="00A81E40" w14:paraId="7CD1E886" w14:textId="77777777">
        <w:trPr>
          <w:trHeight w:hRule="exact" w:val="2645"/>
          <w:jc w:val="center"/>
        </w:trPr>
        <w:tc>
          <w:tcPr>
            <w:tcW w:w="989" w:type="dxa"/>
            <w:vAlign w:val="center"/>
          </w:tcPr>
          <w:p w14:paraId="1EBBDC05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︵</w:t>
            </w:r>
          </w:p>
          <w:p w14:paraId="27F46823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14:paraId="664BC2A8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14:paraId="03778CDD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14:paraId="1C63A7FE" w14:textId="77777777" w:rsidR="00A81E40" w:rsidRDefault="00063EDF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14:paraId="36308D78" w14:textId="77777777" w:rsidR="00A81E40" w:rsidRDefault="00063EDF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</w:rPr>
              <w:t>︶</w:t>
            </w:r>
          </w:p>
        </w:tc>
        <w:tc>
          <w:tcPr>
            <w:tcW w:w="8222" w:type="dxa"/>
            <w:gridSpan w:val="12"/>
          </w:tcPr>
          <w:p w14:paraId="7FB01865" w14:textId="77777777" w:rsidR="00A81E40" w:rsidRDefault="00063EDF">
            <w:pPr>
              <w:spacing w:line="360" w:lineRule="exact"/>
              <w:ind w:firstLineChars="200" w:firstLine="562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该直播聚焦重大主题，充分展现三峡工程在防洪发电、生态保护和移民安置等方面的综合效益，通过生动案例展现长江大保护重大成效，荣获多个省级大奖，同意推荐。</w:t>
            </w:r>
          </w:p>
          <w:p w14:paraId="21A4D8CC" w14:textId="77777777" w:rsidR="00A81E40" w:rsidRDefault="00A81E40">
            <w:pPr>
              <w:spacing w:line="36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14:paraId="4C1DD88F" w14:textId="77777777" w:rsidR="00A81E40" w:rsidRDefault="00063EDF">
            <w:pPr>
              <w:spacing w:line="360" w:lineRule="exact"/>
              <w:rPr>
                <w:rFonts w:ascii="华文中宋" w:eastAsia="华文中宋" w:hAnsi="华文中宋"/>
                <w:spacing w:val="-2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 xml:space="preserve">                                     </w:t>
            </w: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14:paraId="3009C69C" w14:textId="77777777" w:rsidR="00A81E40" w:rsidRDefault="00063EDF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14:paraId="02150E4A" w14:textId="77777777" w:rsidR="00A81E40" w:rsidRDefault="00063ED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华文中宋" w:eastAsia="华文中宋" w:hAnsi="华文中宋" w:hint="eastAsia"/>
                <w:sz w:val="28"/>
              </w:rPr>
              <w:t>2023</w:t>
            </w:r>
            <w:r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A81E40" w14:paraId="0DB2D5DA" w14:textId="77777777" w:rsidTr="00063EDF">
        <w:trPr>
          <w:trHeight w:hRule="exact" w:val="474"/>
          <w:jc w:val="center"/>
        </w:trPr>
        <w:tc>
          <w:tcPr>
            <w:tcW w:w="1379" w:type="dxa"/>
            <w:gridSpan w:val="3"/>
            <w:vAlign w:val="center"/>
          </w:tcPr>
          <w:p w14:paraId="1BD24D01" w14:textId="77777777" w:rsidR="00A81E40" w:rsidRDefault="00063ED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66" w:type="dxa"/>
            <w:gridSpan w:val="3"/>
            <w:vAlign w:val="center"/>
          </w:tcPr>
          <w:p w14:paraId="6DE0CE31" w14:textId="77777777" w:rsidR="00A81E40" w:rsidRDefault="00063EDF">
            <w:pPr>
              <w:spacing w:line="360" w:lineRule="exact"/>
              <w:ind w:firstLine="482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马丽</w:t>
            </w:r>
          </w:p>
        </w:tc>
        <w:tc>
          <w:tcPr>
            <w:tcW w:w="792" w:type="dxa"/>
            <w:vAlign w:val="center"/>
          </w:tcPr>
          <w:p w14:paraId="64531BCB" w14:textId="77777777" w:rsidR="00A81E40" w:rsidRDefault="00063ED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76" w:type="dxa"/>
            <w:gridSpan w:val="4"/>
            <w:vAlign w:val="center"/>
          </w:tcPr>
          <w:p w14:paraId="635E2D76" w14:textId="77777777" w:rsidR="00A81E40" w:rsidRDefault="00A81E40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F02E53B" w14:textId="77777777" w:rsidR="00A81E40" w:rsidRDefault="00063ED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06" w:type="dxa"/>
            <w:vAlign w:val="center"/>
          </w:tcPr>
          <w:p w14:paraId="1D20C85A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18674056105</w:t>
            </w:r>
          </w:p>
        </w:tc>
      </w:tr>
      <w:tr w:rsidR="00A81E40" w14:paraId="38372B83" w14:textId="77777777" w:rsidTr="00063EDF">
        <w:trPr>
          <w:trHeight w:hRule="exact" w:val="498"/>
          <w:jc w:val="center"/>
        </w:trPr>
        <w:tc>
          <w:tcPr>
            <w:tcW w:w="1379" w:type="dxa"/>
            <w:gridSpan w:val="3"/>
            <w:vAlign w:val="center"/>
          </w:tcPr>
          <w:p w14:paraId="20C2C5AB" w14:textId="77777777" w:rsidR="00A81E40" w:rsidRDefault="00063ED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634" w:type="dxa"/>
            <w:gridSpan w:val="8"/>
            <w:vAlign w:val="center"/>
          </w:tcPr>
          <w:p w14:paraId="6B25F0CF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272176864@qq.com</w:t>
            </w:r>
          </w:p>
        </w:tc>
        <w:tc>
          <w:tcPr>
            <w:tcW w:w="892" w:type="dxa"/>
            <w:vAlign w:val="center"/>
          </w:tcPr>
          <w:p w14:paraId="29941E2D" w14:textId="77777777" w:rsidR="00A81E40" w:rsidRDefault="00063ED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06" w:type="dxa"/>
            <w:vAlign w:val="center"/>
          </w:tcPr>
          <w:p w14:paraId="32566A42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430061</w:t>
            </w:r>
          </w:p>
        </w:tc>
      </w:tr>
      <w:tr w:rsidR="00A81E40" w14:paraId="0096DBBD" w14:textId="77777777" w:rsidTr="00063EDF">
        <w:trPr>
          <w:trHeight w:hRule="exact" w:val="489"/>
          <w:jc w:val="center"/>
        </w:trPr>
        <w:tc>
          <w:tcPr>
            <w:tcW w:w="1379" w:type="dxa"/>
            <w:gridSpan w:val="3"/>
            <w:vAlign w:val="center"/>
          </w:tcPr>
          <w:p w14:paraId="378D09A5" w14:textId="77777777" w:rsidR="00A81E40" w:rsidRDefault="00063ED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832" w:type="dxa"/>
            <w:gridSpan w:val="10"/>
            <w:vAlign w:val="center"/>
          </w:tcPr>
          <w:p w14:paraId="38B7DC9A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湖北省武汉市武昌区公正路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号</w:t>
            </w:r>
          </w:p>
        </w:tc>
      </w:tr>
      <w:tr w:rsidR="00A81E40" w14:paraId="482CB1D9" w14:textId="77777777" w:rsidTr="00063ED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5"/>
          <w:jc w:val="center"/>
        </w:trPr>
        <w:tc>
          <w:tcPr>
            <w:tcW w:w="9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88254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以下仅供自荐、他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荐作品</w:t>
            </w:r>
            <w:proofErr w:type="gramEnd"/>
            <w:r>
              <w:rPr>
                <w:rFonts w:ascii="华文中宋" w:eastAsia="华文中宋" w:hAnsi="华文中宋" w:hint="eastAsia"/>
                <w:sz w:val="28"/>
                <w:szCs w:val="28"/>
              </w:rPr>
              <w:t>填报</w:t>
            </w:r>
          </w:p>
        </w:tc>
      </w:tr>
      <w:tr w:rsidR="00A81E40" w14:paraId="55F8C890" w14:textId="77777777" w:rsidTr="00063ED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29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FB542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69A" w14:textId="77777777" w:rsidR="00A81E40" w:rsidRDefault="00063EDF">
            <w:pPr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4514" w14:textId="77777777" w:rsidR="00A81E40" w:rsidRDefault="00A81E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BCFBC" w14:textId="77777777" w:rsidR="00A81E40" w:rsidRDefault="00063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D01" w14:textId="77777777" w:rsidR="00A81E40" w:rsidRDefault="00A81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81E40" w14:paraId="5233E4DF" w14:textId="77777777" w:rsidTr="00063ED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14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70D" w14:textId="77777777" w:rsidR="00A81E40" w:rsidRDefault="00A81E4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2649" w14:textId="77777777" w:rsidR="00A81E40" w:rsidRDefault="00063E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1B330" w14:textId="77777777" w:rsidR="00A81E40" w:rsidRDefault="00A81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81E40" w14:paraId="3986A394" w14:textId="77777777" w:rsidTr="00063ED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41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00DD6" w14:textId="77777777" w:rsidR="00A81E40" w:rsidRDefault="00063EDF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7E1" w14:textId="77777777" w:rsidR="00A81E40" w:rsidRDefault="00063EDF">
            <w:pPr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41D" w14:textId="77777777" w:rsidR="00A81E40" w:rsidRDefault="00A81E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3FA0E" w14:textId="77777777" w:rsidR="00A81E40" w:rsidRDefault="00063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A36F" w14:textId="77777777" w:rsidR="00A81E40" w:rsidRDefault="00A81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81E40" w14:paraId="50F65D1B" w14:textId="77777777" w:rsidTr="00063ED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57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ED3" w14:textId="77777777" w:rsidR="00A81E40" w:rsidRDefault="00A81E4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197" w14:textId="77777777" w:rsidR="00A81E40" w:rsidRDefault="00063E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3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6152" w14:textId="77777777" w:rsidR="00A81E40" w:rsidRDefault="00A81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81E40" w14:paraId="7C2B2D36" w14:textId="77777777" w:rsidTr="00063ED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21"/>
          <w:jc w:val="center"/>
        </w:trPr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EB83E" w14:textId="77777777" w:rsidR="00A81E40" w:rsidRDefault="00063EDF">
            <w:pPr>
              <w:spacing w:line="36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获奖项名称、等级</w:t>
            </w:r>
          </w:p>
        </w:tc>
        <w:tc>
          <w:tcPr>
            <w:tcW w:w="63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D76C" w14:textId="77777777" w:rsidR="00A81E40" w:rsidRDefault="00A81E40">
            <w:pPr>
              <w:autoSpaceDE w:val="0"/>
              <w:autoSpaceDN w:val="0"/>
              <w:adjustRightInd w:val="0"/>
              <w:spacing w:line="24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14:paraId="1F726ECC" w14:textId="77777777" w:rsidR="00A81E40" w:rsidRDefault="00A81E40"/>
    <w:sectPr w:rsidR="00A81E40" w:rsidSect="00063EDF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FFB5" w14:textId="77777777" w:rsidR="00063EDF" w:rsidRDefault="00063EDF" w:rsidP="00063EDF">
      <w:r>
        <w:separator/>
      </w:r>
    </w:p>
  </w:endnote>
  <w:endnote w:type="continuationSeparator" w:id="0">
    <w:p w14:paraId="6C538A60" w14:textId="77777777" w:rsidR="00063EDF" w:rsidRDefault="00063EDF" w:rsidP="0006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0A3A" w14:textId="77777777" w:rsidR="00063EDF" w:rsidRDefault="00063EDF" w:rsidP="00063EDF">
      <w:r>
        <w:separator/>
      </w:r>
    </w:p>
  </w:footnote>
  <w:footnote w:type="continuationSeparator" w:id="0">
    <w:p w14:paraId="631B90F1" w14:textId="77777777" w:rsidR="00063EDF" w:rsidRDefault="00063EDF" w:rsidP="0006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9DA1"/>
    <w:multiLevelType w:val="singleLevel"/>
    <w:tmpl w:val="08F99D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3649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5OGIwYzM0MDdjODIxYjM0OGYxMmMxNzc4YmM1ZjIifQ=="/>
  </w:docVars>
  <w:rsids>
    <w:rsidRoot w:val="7A293C18"/>
    <w:rsid w:val="00063EDF"/>
    <w:rsid w:val="00A81E40"/>
    <w:rsid w:val="26662214"/>
    <w:rsid w:val="3AED41E4"/>
    <w:rsid w:val="5C8F6A67"/>
    <w:rsid w:val="63D226D5"/>
    <w:rsid w:val="66151B26"/>
    <w:rsid w:val="67430F36"/>
    <w:rsid w:val="7A2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CEF553"/>
  <w15:docId w15:val="{7B349ECC-9F6E-4A36-9042-4776BEA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</w:rPr>
  </w:style>
  <w:style w:type="paragraph" w:customStyle="1" w:styleId="1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a5"/>
    <w:rsid w:val="0006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ED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6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E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.qq.com/cgi-bin/mmwebwx-bin/webwxcheckurl?requrl=https://m.hbtv.com.cn/p/2207341.html&amp;skey=@crypt_8915b49f_8dbdef98522ba2a64730ae8f20b60902&amp;deviceid=e612616294824221&amp;pass_ticket=mTz9tHQs9xoN7V9kPjx8FZyUIornV82cVAolZcsTVIl0DqeLCipu1gpRQwq3MIIB&amp;opcode=2&amp;scene=1&amp;username=@54096f92745f3b41ec4f99c55990c08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梅媚Crystal</dc:creator>
  <cp:lastModifiedBy>Zhang W.</cp:lastModifiedBy>
  <cp:revision>2</cp:revision>
  <dcterms:created xsi:type="dcterms:W3CDTF">2023-03-27T01:49:00Z</dcterms:created>
  <dcterms:modified xsi:type="dcterms:W3CDTF">2023-03-27T09:52:00Z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3BFEE26226044A609413E0D2C286C6AB</vt:lpwstr>
  </property>
</Properties>
</file>